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0DC4" w14:textId="77777777" w:rsidR="0030616D" w:rsidRDefault="002316C0" w:rsidP="00BE7439">
      <w:pPr>
        <w:spacing w:line="480" w:lineRule="auto"/>
        <w:contextualSpacing/>
        <w:jc w:val="center"/>
        <w:rPr>
          <w:color w:val="000000" w:themeColor="text1"/>
          <w:sz w:val="24"/>
          <w:szCs w:val="24"/>
        </w:rPr>
      </w:pPr>
      <w:r w:rsidRPr="0030616D">
        <w:rPr>
          <w:color w:val="000000" w:themeColor="text1"/>
          <w:sz w:val="24"/>
          <w:szCs w:val="24"/>
        </w:rPr>
        <w:t xml:space="preserve">Digital games in </w:t>
      </w:r>
      <w:r w:rsidR="00A669DB" w:rsidRPr="0030616D">
        <w:rPr>
          <w:color w:val="000000" w:themeColor="text1"/>
          <w:sz w:val="24"/>
          <w:szCs w:val="24"/>
        </w:rPr>
        <w:t>C</w:t>
      </w:r>
      <w:r w:rsidRPr="0030616D">
        <w:rPr>
          <w:color w:val="000000" w:themeColor="text1"/>
          <w:sz w:val="24"/>
          <w:szCs w:val="24"/>
        </w:rPr>
        <w:t xml:space="preserve">lassical classrooms: </w:t>
      </w:r>
    </w:p>
    <w:p w14:paraId="4E5DF2C0" w14:textId="3E0CF3F0" w:rsidR="002316C0" w:rsidRPr="0030616D" w:rsidRDefault="002316C0" w:rsidP="00BE7439">
      <w:pPr>
        <w:spacing w:line="480" w:lineRule="auto"/>
        <w:contextualSpacing/>
        <w:jc w:val="center"/>
        <w:rPr>
          <w:color w:val="000000" w:themeColor="text1"/>
          <w:sz w:val="24"/>
          <w:szCs w:val="24"/>
        </w:rPr>
      </w:pPr>
      <w:r w:rsidRPr="0030616D">
        <w:rPr>
          <w:color w:val="000000" w:themeColor="text1"/>
          <w:sz w:val="24"/>
          <w:szCs w:val="24"/>
        </w:rPr>
        <w:t>VR kottabos, the Royal Game of Ur, and pedagogical horizons</w:t>
      </w:r>
    </w:p>
    <w:p w14:paraId="3139F015" w14:textId="16BC3637" w:rsidR="00BB0E7C" w:rsidRPr="0064055A" w:rsidRDefault="00BB0E7C" w:rsidP="00BE7439">
      <w:pPr>
        <w:spacing w:line="480" w:lineRule="auto"/>
        <w:contextualSpacing/>
        <w:rPr>
          <w:color w:val="000000" w:themeColor="text1"/>
          <w:sz w:val="24"/>
          <w:szCs w:val="24"/>
        </w:rPr>
      </w:pPr>
    </w:p>
    <w:p w14:paraId="2F4EC463" w14:textId="1ED39D2A" w:rsidR="008C7B37" w:rsidRPr="0064055A" w:rsidRDefault="00BB0E7C" w:rsidP="00BE7439">
      <w:pPr>
        <w:spacing w:line="480" w:lineRule="auto"/>
        <w:ind w:firstLine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 xml:space="preserve">Video games </w:t>
      </w:r>
      <w:r w:rsidR="008C7B37" w:rsidRPr="0064055A">
        <w:rPr>
          <w:color w:val="000000" w:themeColor="text1"/>
          <w:sz w:val="24"/>
          <w:szCs w:val="24"/>
        </w:rPr>
        <w:t xml:space="preserve">in multiple forms are part of a </w:t>
      </w:r>
      <w:r w:rsidR="00E908CD" w:rsidRPr="0064055A">
        <w:rPr>
          <w:color w:val="000000" w:themeColor="text1"/>
          <w:sz w:val="24"/>
          <w:szCs w:val="24"/>
        </w:rPr>
        <w:t>robust debate on critical digital pedagogy at all levels (</w:t>
      </w:r>
      <w:r w:rsidR="00CC6B8C" w:rsidRPr="0064055A">
        <w:rPr>
          <w:color w:val="000000" w:themeColor="text1"/>
          <w:sz w:val="24"/>
          <w:szCs w:val="24"/>
        </w:rPr>
        <w:t xml:space="preserve">Arbuckle 2021; Champion 2015; </w:t>
      </w:r>
      <w:proofErr w:type="spellStart"/>
      <w:r w:rsidR="00E908CD" w:rsidRPr="0064055A">
        <w:rPr>
          <w:color w:val="000000" w:themeColor="text1"/>
          <w:sz w:val="24"/>
          <w:szCs w:val="24"/>
        </w:rPr>
        <w:t>Bourgonjon</w:t>
      </w:r>
      <w:proofErr w:type="spellEnd"/>
      <w:r w:rsidR="00CC6B8C" w:rsidRPr="0064055A">
        <w:rPr>
          <w:color w:val="000000" w:themeColor="text1"/>
          <w:sz w:val="24"/>
          <w:szCs w:val="24"/>
        </w:rPr>
        <w:t xml:space="preserve"> et al 2010</w:t>
      </w:r>
      <w:r w:rsidR="00105766" w:rsidRPr="0064055A">
        <w:rPr>
          <w:color w:val="000000" w:themeColor="text1"/>
          <w:sz w:val="24"/>
          <w:szCs w:val="24"/>
        </w:rPr>
        <w:t xml:space="preserve">; </w:t>
      </w:r>
      <w:proofErr w:type="spellStart"/>
      <w:r w:rsidR="00105766" w:rsidRPr="0064055A">
        <w:rPr>
          <w:color w:val="000000" w:themeColor="text1"/>
          <w:sz w:val="24"/>
          <w:szCs w:val="24"/>
        </w:rPr>
        <w:t>Secci</w:t>
      </w:r>
      <w:proofErr w:type="spellEnd"/>
      <w:r w:rsidR="00105766" w:rsidRPr="0064055A">
        <w:rPr>
          <w:color w:val="000000" w:themeColor="text1"/>
          <w:sz w:val="24"/>
          <w:szCs w:val="24"/>
        </w:rPr>
        <w:t xml:space="preserve"> 2019</w:t>
      </w:r>
      <w:r w:rsidR="00E908CD" w:rsidRPr="0064055A">
        <w:rPr>
          <w:color w:val="000000" w:themeColor="text1"/>
          <w:sz w:val="24"/>
          <w:szCs w:val="24"/>
        </w:rPr>
        <w:t xml:space="preserve">). Commercial successes </w:t>
      </w:r>
      <w:r w:rsidRPr="0064055A">
        <w:rPr>
          <w:color w:val="000000" w:themeColor="text1"/>
          <w:sz w:val="24"/>
          <w:szCs w:val="24"/>
        </w:rPr>
        <w:t xml:space="preserve">such as </w:t>
      </w:r>
      <w:r w:rsidRPr="0064055A">
        <w:rPr>
          <w:i/>
          <w:iCs/>
          <w:color w:val="000000" w:themeColor="text1"/>
          <w:sz w:val="24"/>
          <w:szCs w:val="24"/>
        </w:rPr>
        <w:t>Assa</w:t>
      </w:r>
      <w:r w:rsidR="00A44D2D" w:rsidRPr="0064055A">
        <w:rPr>
          <w:i/>
          <w:iCs/>
          <w:color w:val="000000" w:themeColor="text1"/>
          <w:sz w:val="24"/>
          <w:szCs w:val="24"/>
        </w:rPr>
        <w:t>s</w:t>
      </w:r>
      <w:r w:rsidRPr="0064055A">
        <w:rPr>
          <w:i/>
          <w:iCs/>
          <w:color w:val="000000" w:themeColor="text1"/>
          <w:sz w:val="24"/>
          <w:szCs w:val="24"/>
        </w:rPr>
        <w:t xml:space="preserve">sin’s Creed, </w:t>
      </w:r>
      <w:r w:rsidR="00BE0876" w:rsidRPr="0064055A">
        <w:rPr>
          <w:i/>
          <w:iCs/>
          <w:color w:val="000000" w:themeColor="text1"/>
          <w:sz w:val="24"/>
          <w:szCs w:val="24"/>
        </w:rPr>
        <w:t>Civilization, Total War Rome, Age of Empires</w:t>
      </w:r>
      <w:r w:rsidR="00BE0876" w:rsidRPr="0064055A">
        <w:rPr>
          <w:color w:val="000000" w:themeColor="text1"/>
          <w:sz w:val="24"/>
          <w:szCs w:val="24"/>
        </w:rPr>
        <w:t xml:space="preserve"> and </w:t>
      </w:r>
      <w:proofErr w:type="spellStart"/>
      <w:r w:rsidR="00BE0876" w:rsidRPr="0064055A">
        <w:rPr>
          <w:i/>
          <w:iCs/>
          <w:color w:val="000000" w:themeColor="text1"/>
          <w:sz w:val="24"/>
          <w:szCs w:val="24"/>
        </w:rPr>
        <w:t>Apotheon</w:t>
      </w:r>
      <w:proofErr w:type="spellEnd"/>
      <w:r w:rsidR="00BE0876" w:rsidRPr="0064055A">
        <w:rPr>
          <w:color w:val="000000" w:themeColor="text1"/>
          <w:sz w:val="24"/>
          <w:szCs w:val="24"/>
        </w:rPr>
        <w:t xml:space="preserve"> </w:t>
      </w:r>
      <w:r w:rsidRPr="0064055A">
        <w:rPr>
          <w:color w:val="000000" w:themeColor="text1"/>
          <w:sz w:val="24"/>
          <w:szCs w:val="24"/>
        </w:rPr>
        <w:t>make abundant use of the narratives, names, and places</w:t>
      </w:r>
      <w:r w:rsidR="00BE0876" w:rsidRPr="0064055A">
        <w:rPr>
          <w:color w:val="000000" w:themeColor="text1"/>
          <w:sz w:val="24"/>
          <w:szCs w:val="24"/>
        </w:rPr>
        <w:t xml:space="preserve"> of the ancient Mediterranean world</w:t>
      </w:r>
      <w:r w:rsidR="00FB0E1A" w:rsidRPr="0064055A">
        <w:rPr>
          <w:color w:val="000000" w:themeColor="text1"/>
          <w:sz w:val="24"/>
          <w:szCs w:val="24"/>
        </w:rPr>
        <w:t xml:space="preserve">; </w:t>
      </w:r>
      <w:proofErr w:type="spellStart"/>
      <w:r w:rsidR="00FB0E1A" w:rsidRPr="0064055A">
        <w:rPr>
          <w:color w:val="000000" w:themeColor="text1"/>
          <w:sz w:val="24"/>
          <w:szCs w:val="24"/>
        </w:rPr>
        <w:t>a</w:t>
      </w:r>
      <w:r w:rsidR="000C1A74" w:rsidRPr="0064055A">
        <w:rPr>
          <w:color w:val="000000" w:themeColor="text1"/>
          <w:sz w:val="24"/>
          <w:szCs w:val="24"/>
        </w:rPr>
        <w:t>rcha</w:t>
      </w:r>
      <w:r w:rsidR="00FB0E1A" w:rsidRPr="0064055A">
        <w:rPr>
          <w:color w:val="000000" w:themeColor="text1"/>
          <w:sz w:val="24"/>
          <w:szCs w:val="24"/>
        </w:rPr>
        <w:t>eogames</w:t>
      </w:r>
      <w:proofErr w:type="spellEnd"/>
      <w:r w:rsidR="00C52DE6" w:rsidRPr="0064055A">
        <w:rPr>
          <w:color w:val="000000" w:themeColor="text1"/>
          <w:sz w:val="24"/>
          <w:szCs w:val="24"/>
        </w:rPr>
        <w:t xml:space="preserve"> </w:t>
      </w:r>
      <w:r w:rsidR="00574227" w:rsidRPr="0064055A">
        <w:rPr>
          <w:color w:val="000000" w:themeColor="text1"/>
          <w:sz w:val="24"/>
          <w:szCs w:val="24"/>
        </w:rPr>
        <w:t xml:space="preserve">offer players the opportunity to apply archaeological methods to digital reconstructions of excavated spaces, </w:t>
      </w:r>
      <w:r w:rsidR="00C52DE6" w:rsidRPr="0064055A">
        <w:rPr>
          <w:color w:val="000000" w:themeColor="text1"/>
          <w:sz w:val="24"/>
          <w:szCs w:val="24"/>
        </w:rPr>
        <w:t xml:space="preserve">from </w:t>
      </w:r>
      <w:proofErr w:type="spellStart"/>
      <w:r w:rsidR="00C52DE6" w:rsidRPr="0064055A">
        <w:rPr>
          <w:color w:val="000000" w:themeColor="text1"/>
          <w:sz w:val="24"/>
          <w:szCs w:val="24"/>
        </w:rPr>
        <w:t>Catalhuyuk</w:t>
      </w:r>
      <w:proofErr w:type="spellEnd"/>
      <w:r w:rsidR="00C52DE6" w:rsidRPr="0064055A">
        <w:rPr>
          <w:color w:val="000000" w:themeColor="text1"/>
          <w:sz w:val="24"/>
          <w:szCs w:val="24"/>
        </w:rPr>
        <w:t xml:space="preserve"> to Rome, </w:t>
      </w:r>
      <w:r w:rsidR="00574227" w:rsidRPr="0064055A">
        <w:rPr>
          <w:color w:val="000000" w:themeColor="text1"/>
          <w:sz w:val="24"/>
          <w:szCs w:val="24"/>
        </w:rPr>
        <w:t>or to fantasy worlds constructed for those activities</w:t>
      </w:r>
      <w:r w:rsidR="001D779B" w:rsidRPr="0064055A">
        <w:rPr>
          <w:color w:val="000000" w:themeColor="text1"/>
          <w:sz w:val="24"/>
          <w:szCs w:val="24"/>
        </w:rPr>
        <w:t xml:space="preserve"> (Rollinger et al</w:t>
      </w:r>
      <w:r w:rsidR="00CC6B8C" w:rsidRPr="0064055A">
        <w:rPr>
          <w:color w:val="000000" w:themeColor="text1"/>
          <w:sz w:val="24"/>
          <w:szCs w:val="24"/>
        </w:rPr>
        <w:t xml:space="preserve"> 2020</w:t>
      </w:r>
      <w:r w:rsidR="00CD23A6" w:rsidRPr="0064055A">
        <w:rPr>
          <w:color w:val="000000" w:themeColor="text1"/>
          <w:sz w:val="24"/>
          <w:szCs w:val="24"/>
        </w:rPr>
        <w:t>; Graham</w:t>
      </w:r>
      <w:r w:rsidR="00CC6B8C" w:rsidRPr="0064055A">
        <w:rPr>
          <w:color w:val="000000" w:themeColor="text1"/>
          <w:sz w:val="24"/>
          <w:szCs w:val="24"/>
        </w:rPr>
        <w:t xml:space="preserve"> 2014</w:t>
      </w:r>
      <w:r w:rsidR="001D779B" w:rsidRPr="0064055A">
        <w:rPr>
          <w:color w:val="000000" w:themeColor="text1"/>
          <w:sz w:val="24"/>
          <w:szCs w:val="24"/>
        </w:rPr>
        <w:t>)</w:t>
      </w:r>
      <w:r w:rsidR="00574227" w:rsidRPr="0064055A">
        <w:rPr>
          <w:color w:val="000000" w:themeColor="text1"/>
          <w:sz w:val="24"/>
          <w:szCs w:val="24"/>
        </w:rPr>
        <w:t xml:space="preserve">.  </w:t>
      </w:r>
      <w:r w:rsidR="00953FC1" w:rsidRPr="0064055A">
        <w:rPr>
          <w:color w:val="000000" w:themeColor="text1"/>
          <w:sz w:val="24"/>
          <w:szCs w:val="24"/>
        </w:rPr>
        <w:t>The caveats regarding such games for classroom contexts are abundant</w:t>
      </w:r>
      <w:r w:rsidR="00CA74DC">
        <w:rPr>
          <w:color w:val="000000" w:themeColor="text1"/>
          <w:sz w:val="24"/>
          <w:szCs w:val="24"/>
        </w:rPr>
        <w:t>:</w:t>
      </w:r>
      <w:r w:rsidR="00953FC1" w:rsidRPr="0064055A">
        <w:rPr>
          <w:color w:val="000000" w:themeColor="text1"/>
          <w:sz w:val="24"/>
          <w:szCs w:val="24"/>
        </w:rPr>
        <w:t xml:space="preserve"> </w:t>
      </w:r>
      <w:r w:rsidR="00CA74DC">
        <w:rPr>
          <w:color w:val="000000" w:themeColor="text1"/>
          <w:sz w:val="24"/>
          <w:szCs w:val="24"/>
        </w:rPr>
        <w:t>they include t</w:t>
      </w:r>
      <w:r w:rsidR="00953FC1" w:rsidRPr="0064055A">
        <w:rPr>
          <w:color w:val="000000" w:themeColor="text1"/>
          <w:sz w:val="24"/>
          <w:szCs w:val="24"/>
        </w:rPr>
        <w:t>he intersection between gaming and violence, the misrepresentation of archaeological sites and historical periods, and the modeling of inappropriate archaeological ethics, from looting to destruction</w:t>
      </w:r>
      <w:r w:rsidR="00CA74DC">
        <w:rPr>
          <w:color w:val="000000" w:themeColor="text1"/>
          <w:sz w:val="24"/>
          <w:szCs w:val="24"/>
        </w:rPr>
        <w:t xml:space="preserve">.  </w:t>
      </w:r>
      <w:r w:rsidR="00953FC1" w:rsidRPr="0064055A">
        <w:rPr>
          <w:color w:val="000000" w:themeColor="text1"/>
          <w:sz w:val="24"/>
          <w:szCs w:val="24"/>
        </w:rPr>
        <w:t xml:space="preserve">Even within </w:t>
      </w:r>
      <w:proofErr w:type="spellStart"/>
      <w:r w:rsidR="00953FC1" w:rsidRPr="0064055A">
        <w:rPr>
          <w:color w:val="000000" w:themeColor="text1"/>
          <w:sz w:val="24"/>
          <w:szCs w:val="24"/>
        </w:rPr>
        <w:t>archaeogaming</w:t>
      </w:r>
      <w:proofErr w:type="spellEnd"/>
      <w:r w:rsidR="00953FC1" w:rsidRPr="0064055A">
        <w:rPr>
          <w:color w:val="000000" w:themeColor="text1"/>
          <w:sz w:val="24"/>
          <w:szCs w:val="24"/>
        </w:rPr>
        <w:t>, the artificiality of the in-game environment can mask the unevenness, partiality, and complexity of ancient materials; the invisible hand of the designer may occlude the player’s awareness of these distortions, and the digital media itself may be complicit in an unintentional usurpation of indigenous pasts</w:t>
      </w:r>
      <w:r w:rsidR="00CC6B8C" w:rsidRPr="0064055A">
        <w:rPr>
          <w:color w:val="000000" w:themeColor="text1"/>
          <w:sz w:val="24"/>
          <w:szCs w:val="24"/>
        </w:rPr>
        <w:t xml:space="preserve"> (Winter 2021)</w:t>
      </w:r>
      <w:r w:rsidR="00953FC1" w:rsidRPr="0064055A">
        <w:rPr>
          <w:color w:val="000000" w:themeColor="text1"/>
          <w:sz w:val="24"/>
          <w:szCs w:val="24"/>
        </w:rPr>
        <w:t>. The pedagogical potentials, however, are significant. S</w:t>
      </w:r>
      <w:r w:rsidR="00E908CD" w:rsidRPr="0064055A">
        <w:rPr>
          <w:color w:val="000000" w:themeColor="text1"/>
          <w:sz w:val="24"/>
          <w:szCs w:val="24"/>
        </w:rPr>
        <w:t xml:space="preserve">uch games </w:t>
      </w:r>
      <w:r w:rsidR="00BD5822" w:rsidRPr="0064055A">
        <w:rPr>
          <w:color w:val="000000" w:themeColor="text1"/>
          <w:sz w:val="24"/>
          <w:szCs w:val="24"/>
        </w:rPr>
        <w:t xml:space="preserve">can intensify </w:t>
      </w:r>
      <w:r w:rsidRPr="0064055A">
        <w:rPr>
          <w:color w:val="000000" w:themeColor="text1"/>
          <w:sz w:val="24"/>
          <w:szCs w:val="24"/>
        </w:rPr>
        <w:t xml:space="preserve">student engagement with ancient </w:t>
      </w:r>
      <w:r w:rsidR="008F058A" w:rsidRPr="0064055A">
        <w:rPr>
          <w:color w:val="000000" w:themeColor="text1"/>
          <w:sz w:val="24"/>
          <w:szCs w:val="24"/>
        </w:rPr>
        <w:t>literary and archaeological evidence</w:t>
      </w:r>
      <w:r w:rsidR="00BD5822" w:rsidRPr="0064055A">
        <w:rPr>
          <w:color w:val="000000" w:themeColor="text1"/>
          <w:sz w:val="24"/>
          <w:szCs w:val="24"/>
        </w:rPr>
        <w:t xml:space="preserve"> and</w:t>
      </w:r>
      <w:r w:rsidR="00BE0876" w:rsidRPr="0064055A">
        <w:rPr>
          <w:color w:val="000000" w:themeColor="text1"/>
          <w:sz w:val="24"/>
          <w:szCs w:val="24"/>
        </w:rPr>
        <w:t xml:space="preserve"> </w:t>
      </w:r>
      <w:r w:rsidR="00BD5822" w:rsidRPr="0064055A">
        <w:rPr>
          <w:color w:val="000000" w:themeColor="text1"/>
          <w:sz w:val="24"/>
          <w:szCs w:val="24"/>
        </w:rPr>
        <w:t xml:space="preserve">focus </w:t>
      </w:r>
      <w:r w:rsidR="008F058A" w:rsidRPr="0064055A">
        <w:rPr>
          <w:color w:val="000000" w:themeColor="text1"/>
          <w:sz w:val="24"/>
          <w:szCs w:val="24"/>
        </w:rPr>
        <w:t xml:space="preserve">their </w:t>
      </w:r>
      <w:r w:rsidR="00BD5822" w:rsidRPr="0064055A">
        <w:rPr>
          <w:color w:val="000000" w:themeColor="text1"/>
          <w:sz w:val="24"/>
          <w:szCs w:val="24"/>
        </w:rPr>
        <w:t xml:space="preserve">critical lenses </w:t>
      </w:r>
      <w:r w:rsidRPr="0064055A">
        <w:rPr>
          <w:color w:val="000000" w:themeColor="text1"/>
          <w:sz w:val="24"/>
          <w:szCs w:val="24"/>
        </w:rPr>
        <w:t>on the technology-antiquity interface</w:t>
      </w:r>
      <w:r w:rsidR="008F058A" w:rsidRPr="0064055A">
        <w:rPr>
          <w:color w:val="000000" w:themeColor="text1"/>
          <w:sz w:val="24"/>
          <w:szCs w:val="24"/>
        </w:rPr>
        <w:t>. Effective a</w:t>
      </w:r>
      <w:r w:rsidR="00BD5822" w:rsidRPr="0064055A">
        <w:rPr>
          <w:color w:val="000000" w:themeColor="text1"/>
          <w:sz w:val="24"/>
          <w:szCs w:val="24"/>
        </w:rPr>
        <w:t>ssignment</w:t>
      </w:r>
      <w:r w:rsidR="008F058A" w:rsidRPr="0064055A">
        <w:rPr>
          <w:color w:val="000000" w:themeColor="text1"/>
          <w:sz w:val="24"/>
          <w:szCs w:val="24"/>
        </w:rPr>
        <w:t xml:space="preserve">s </w:t>
      </w:r>
      <w:r w:rsidR="00BD5822" w:rsidRPr="0064055A">
        <w:rPr>
          <w:color w:val="000000" w:themeColor="text1"/>
          <w:sz w:val="24"/>
          <w:szCs w:val="24"/>
        </w:rPr>
        <w:t>direct students to triangulate the</w:t>
      </w:r>
      <w:r w:rsidR="00CC6B8C" w:rsidRPr="0064055A">
        <w:rPr>
          <w:color w:val="000000" w:themeColor="text1"/>
          <w:sz w:val="24"/>
          <w:szCs w:val="24"/>
        </w:rPr>
        <w:t xml:space="preserve">ir in-game experience </w:t>
      </w:r>
      <w:r w:rsidR="00CA74DC">
        <w:rPr>
          <w:color w:val="000000" w:themeColor="text1"/>
          <w:sz w:val="24"/>
          <w:szCs w:val="24"/>
        </w:rPr>
        <w:t>with</w:t>
      </w:r>
      <w:r w:rsidR="00CC6B8C" w:rsidRPr="0064055A">
        <w:rPr>
          <w:color w:val="000000" w:themeColor="text1"/>
          <w:sz w:val="24"/>
          <w:szCs w:val="24"/>
        </w:rPr>
        <w:t xml:space="preserve"> the</w:t>
      </w:r>
      <w:r w:rsidR="00BD5822" w:rsidRPr="0064055A">
        <w:rPr>
          <w:color w:val="000000" w:themeColor="text1"/>
          <w:sz w:val="24"/>
          <w:szCs w:val="24"/>
        </w:rPr>
        <w:t xml:space="preserve"> ancient texts they study</w:t>
      </w:r>
      <w:r w:rsidR="00CA74DC">
        <w:rPr>
          <w:color w:val="000000" w:themeColor="text1"/>
          <w:sz w:val="24"/>
          <w:szCs w:val="24"/>
        </w:rPr>
        <w:t xml:space="preserve"> </w:t>
      </w:r>
      <w:r w:rsidR="00BD5822" w:rsidRPr="0064055A">
        <w:rPr>
          <w:color w:val="000000" w:themeColor="text1"/>
          <w:sz w:val="24"/>
          <w:szCs w:val="24"/>
        </w:rPr>
        <w:t>and translat</w:t>
      </w:r>
      <w:r w:rsidR="00CA74DC">
        <w:rPr>
          <w:color w:val="000000" w:themeColor="text1"/>
          <w:sz w:val="24"/>
          <w:szCs w:val="24"/>
        </w:rPr>
        <w:t>e</w:t>
      </w:r>
      <w:r w:rsidR="00BD5822" w:rsidRPr="0064055A">
        <w:rPr>
          <w:color w:val="000000" w:themeColor="text1"/>
          <w:sz w:val="24"/>
          <w:szCs w:val="24"/>
        </w:rPr>
        <w:t>, archaeological reports and artifacts</w:t>
      </w:r>
      <w:r w:rsidR="008F058A" w:rsidRPr="0064055A">
        <w:rPr>
          <w:color w:val="000000" w:themeColor="text1"/>
          <w:sz w:val="24"/>
          <w:szCs w:val="24"/>
        </w:rPr>
        <w:t xml:space="preserve"> explored in person </w:t>
      </w:r>
      <w:r w:rsidR="00BD5822" w:rsidRPr="0064055A">
        <w:rPr>
          <w:color w:val="000000" w:themeColor="text1"/>
          <w:sz w:val="24"/>
          <w:szCs w:val="24"/>
        </w:rPr>
        <w:t>or through museum and excavation websites</w:t>
      </w:r>
      <w:r w:rsidR="00CC6B8C" w:rsidRPr="0064055A">
        <w:rPr>
          <w:color w:val="000000" w:themeColor="text1"/>
          <w:sz w:val="24"/>
          <w:szCs w:val="24"/>
        </w:rPr>
        <w:t xml:space="preserve">. </w:t>
      </w:r>
      <w:r w:rsidR="00BD5822" w:rsidRPr="0064055A">
        <w:rPr>
          <w:color w:val="000000" w:themeColor="text1"/>
          <w:sz w:val="24"/>
          <w:szCs w:val="24"/>
        </w:rPr>
        <w:t>The</w:t>
      </w:r>
      <w:r w:rsidR="000C1A74" w:rsidRPr="0064055A">
        <w:rPr>
          <w:color w:val="000000" w:themeColor="text1"/>
          <w:sz w:val="24"/>
          <w:szCs w:val="24"/>
        </w:rPr>
        <w:t>se</w:t>
      </w:r>
      <w:r w:rsidR="00BD5822" w:rsidRPr="0064055A">
        <w:rPr>
          <w:color w:val="000000" w:themeColor="text1"/>
          <w:sz w:val="24"/>
          <w:szCs w:val="24"/>
        </w:rPr>
        <w:t xml:space="preserve"> </w:t>
      </w:r>
      <w:r w:rsidR="00CC6B8C" w:rsidRPr="0064055A">
        <w:rPr>
          <w:color w:val="000000" w:themeColor="text1"/>
          <w:sz w:val="24"/>
          <w:szCs w:val="24"/>
        </w:rPr>
        <w:t xml:space="preserve">correlate with </w:t>
      </w:r>
      <w:r w:rsidR="00BD5822" w:rsidRPr="0064055A">
        <w:rPr>
          <w:color w:val="000000" w:themeColor="text1"/>
          <w:sz w:val="24"/>
          <w:szCs w:val="24"/>
        </w:rPr>
        <w:t>McGonigal’s arguments for the intens</w:t>
      </w:r>
      <w:r w:rsidR="00964305" w:rsidRPr="0064055A">
        <w:rPr>
          <w:color w:val="000000" w:themeColor="text1"/>
          <w:sz w:val="24"/>
          <w:szCs w:val="24"/>
        </w:rPr>
        <w:t>ifi</w:t>
      </w:r>
      <w:r w:rsidR="00BD5822" w:rsidRPr="0064055A">
        <w:rPr>
          <w:color w:val="000000" w:themeColor="text1"/>
          <w:sz w:val="24"/>
          <w:szCs w:val="24"/>
        </w:rPr>
        <w:t>e</w:t>
      </w:r>
      <w:r w:rsidR="00964305" w:rsidRPr="0064055A">
        <w:rPr>
          <w:color w:val="000000" w:themeColor="text1"/>
          <w:sz w:val="24"/>
          <w:szCs w:val="24"/>
        </w:rPr>
        <w:t>d</w:t>
      </w:r>
      <w:r w:rsidR="00BD5822" w:rsidRPr="0064055A">
        <w:rPr>
          <w:color w:val="000000" w:themeColor="text1"/>
          <w:sz w:val="24"/>
          <w:szCs w:val="24"/>
        </w:rPr>
        <w:t xml:space="preserve"> focus, heightened optimism, </w:t>
      </w:r>
      <w:r w:rsidR="00CA74DC">
        <w:rPr>
          <w:color w:val="000000" w:themeColor="text1"/>
          <w:sz w:val="24"/>
          <w:szCs w:val="24"/>
        </w:rPr>
        <w:t xml:space="preserve">and </w:t>
      </w:r>
      <w:r w:rsidR="000C1A74" w:rsidRPr="0064055A">
        <w:rPr>
          <w:color w:val="000000" w:themeColor="text1"/>
          <w:sz w:val="24"/>
          <w:szCs w:val="24"/>
        </w:rPr>
        <w:t>productivity</w:t>
      </w:r>
      <w:r w:rsidR="00CA74DC">
        <w:rPr>
          <w:color w:val="000000" w:themeColor="text1"/>
          <w:sz w:val="24"/>
          <w:szCs w:val="24"/>
        </w:rPr>
        <w:t xml:space="preserve"> </w:t>
      </w:r>
      <w:r w:rsidR="00BD5822" w:rsidRPr="0064055A">
        <w:rPr>
          <w:color w:val="000000" w:themeColor="text1"/>
          <w:sz w:val="24"/>
          <w:szCs w:val="24"/>
        </w:rPr>
        <w:t xml:space="preserve">which are part of the draw for the thousands of students who may, by </w:t>
      </w:r>
      <w:r w:rsidR="00BD5822" w:rsidRPr="0064055A">
        <w:rPr>
          <w:color w:val="000000" w:themeColor="text1"/>
          <w:sz w:val="24"/>
          <w:szCs w:val="24"/>
        </w:rPr>
        <w:lastRenderedPageBreak/>
        <w:t>the time of their high school graduations, have spent as many hours gaming as they have in the classroom</w:t>
      </w:r>
      <w:r w:rsidR="00964305" w:rsidRPr="0064055A">
        <w:rPr>
          <w:color w:val="000000" w:themeColor="text1"/>
          <w:sz w:val="24"/>
          <w:szCs w:val="24"/>
        </w:rPr>
        <w:t xml:space="preserve"> (McGonigal 2011)</w:t>
      </w:r>
      <w:r w:rsidR="00BD5822" w:rsidRPr="0064055A">
        <w:rPr>
          <w:color w:val="000000" w:themeColor="text1"/>
          <w:sz w:val="24"/>
          <w:szCs w:val="24"/>
        </w:rPr>
        <w:t xml:space="preserve">. </w:t>
      </w:r>
      <w:r w:rsidR="00E4111C" w:rsidRPr="0064055A">
        <w:rPr>
          <w:color w:val="000000" w:themeColor="text1"/>
          <w:sz w:val="24"/>
          <w:szCs w:val="24"/>
        </w:rPr>
        <w:t>There are also uniquely productive intersections between the experiences of game play and the more nuanced formulations regarding antiquity</w:t>
      </w:r>
      <w:r w:rsidR="00CC6B8C" w:rsidRPr="0064055A">
        <w:rPr>
          <w:color w:val="000000" w:themeColor="text1"/>
          <w:sz w:val="24"/>
          <w:szCs w:val="24"/>
        </w:rPr>
        <w:t>. G</w:t>
      </w:r>
      <w:r w:rsidR="00E4111C" w:rsidRPr="0064055A">
        <w:rPr>
          <w:color w:val="000000" w:themeColor="text1"/>
          <w:sz w:val="24"/>
          <w:szCs w:val="24"/>
        </w:rPr>
        <w:t>ames engender narratives which are polyvocal</w:t>
      </w:r>
      <w:r w:rsidR="000C1A74" w:rsidRPr="0064055A">
        <w:rPr>
          <w:color w:val="000000" w:themeColor="text1"/>
          <w:sz w:val="24"/>
          <w:szCs w:val="24"/>
        </w:rPr>
        <w:t xml:space="preserve">, </w:t>
      </w:r>
      <w:proofErr w:type="gramStart"/>
      <w:r w:rsidR="000C1A74" w:rsidRPr="0064055A">
        <w:rPr>
          <w:color w:val="000000" w:themeColor="text1"/>
          <w:sz w:val="24"/>
          <w:szCs w:val="24"/>
        </w:rPr>
        <w:t>emergent</w:t>
      </w:r>
      <w:proofErr w:type="gramEnd"/>
      <w:r w:rsidR="000C1A74" w:rsidRPr="0064055A">
        <w:rPr>
          <w:color w:val="000000" w:themeColor="text1"/>
          <w:sz w:val="24"/>
          <w:szCs w:val="24"/>
        </w:rPr>
        <w:t xml:space="preserve"> and adaptive, in contrast to the literary canon from which ancient </w:t>
      </w:r>
      <w:r w:rsidR="00964305" w:rsidRPr="0064055A">
        <w:rPr>
          <w:color w:val="000000" w:themeColor="text1"/>
          <w:sz w:val="24"/>
          <w:szCs w:val="24"/>
        </w:rPr>
        <w:t xml:space="preserve">myths and </w:t>
      </w:r>
      <w:r w:rsidR="000C1A74" w:rsidRPr="0064055A">
        <w:rPr>
          <w:color w:val="000000" w:themeColor="text1"/>
          <w:sz w:val="24"/>
          <w:szCs w:val="24"/>
        </w:rPr>
        <w:t xml:space="preserve">narratives are primarily taught. </w:t>
      </w:r>
      <w:r w:rsidR="00964305" w:rsidRPr="0064055A">
        <w:rPr>
          <w:color w:val="000000" w:themeColor="text1"/>
          <w:sz w:val="24"/>
          <w:szCs w:val="24"/>
        </w:rPr>
        <w:t xml:space="preserve"> The creation of a</w:t>
      </w:r>
      <w:r w:rsidR="00E4111C" w:rsidRPr="0064055A">
        <w:rPr>
          <w:color w:val="000000" w:themeColor="text1"/>
          <w:sz w:val="24"/>
          <w:szCs w:val="24"/>
        </w:rPr>
        <w:t xml:space="preserve"> </w:t>
      </w:r>
      <w:r w:rsidR="00964305" w:rsidRPr="0064055A">
        <w:rPr>
          <w:color w:val="000000" w:themeColor="text1"/>
          <w:sz w:val="24"/>
          <w:szCs w:val="24"/>
        </w:rPr>
        <w:t>narrative, moreover, whether an explication of an ancient text, or the human story behind material remains</w:t>
      </w:r>
      <w:r w:rsidR="008F058A" w:rsidRPr="0064055A">
        <w:rPr>
          <w:color w:val="000000" w:themeColor="text1"/>
          <w:sz w:val="24"/>
          <w:szCs w:val="24"/>
        </w:rPr>
        <w:t>,</w:t>
      </w:r>
      <w:r w:rsidR="00964305" w:rsidRPr="0064055A">
        <w:rPr>
          <w:color w:val="000000" w:themeColor="text1"/>
          <w:sz w:val="24"/>
          <w:szCs w:val="24"/>
        </w:rPr>
        <w:t xml:space="preserve"> is fundamental to both philological and archaeological scholarship. </w:t>
      </w:r>
      <w:r w:rsidR="00FB0E1A" w:rsidRPr="0064055A">
        <w:rPr>
          <w:color w:val="000000" w:themeColor="text1"/>
          <w:sz w:val="24"/>
          <w:szCs w:val="24"/>
        </w:rPr>
        <w:t xml:space="preserve">Such conceptual frameworks move the relevance of digital play beyond the search for ‘easter eggs’ in electronic form – a properly modelled cuirass, or an aptly represented monument - and </w:t>
      </w:r>
      <w:r w:rsidR="00E908CD" w:rsidRPr="0064055A">
        <w:rPr>
          <w:color w:val="000000" w:themeColor="text1"/>
          <w:sz w:val="24"/>
          <w:szCs w:val="24"/>
        </w:rPr>
        <w:t>i</w:t>
      </w:r>
      <w:r w:rsidR="00FB0E1A" w:rsidRPr="0064055A">
        <w:rPr>
          <w:color w:val="000000" w:themeColor="text1"/>
          <w:sz w:val="24"/>
          <w:szCs w:val="24"/>
        </w:rPr>
        <w:t xml:space="preserve">nto a more nuanced discussion of the relationship between the literary, </w:t>
      </w:r>
      <w:proofErr w:type="gramStart"/>
      <w:r w:rsidR="00FB0E1A" w:rsidRPr="0064055A">
        <w:rPr>
          <w:color w:val="000000" w:themeColor="text1"/>
          <w:sz w:val="24"/>
          <w:szCs w:val="24"/>
        </w:rPr>
        <w:t>mythic</w:t>
      </w:r>
      <w:proofErr w:type="gramEnd"/>
      <w:r w:rsidR="00FB0E1A" w:rsidRPr="0064055A">
        <w:rPr>
          <w:color w:val="000000" w:themeColor="text1"/>
          <w:sz w:val="24"/>
          <w:szCs w:val="24"/>
        </w:rPr>
        <w:t xml:space="preserve"> and lived worlds of antiquity.</w:t>
      </w:r>
      <w:r w:rsidR="008C7B37" w:rsidRPr="0064055A">
        <w:rPr>
          <w:color w:val="000000" w:themeColor="text1"/>
          <w:sz w:val="24"/>
          <w:szCs w:val="24"/>
        </w:rPr>
        <w:t xml:space="preserve"> </w:t>
      </w:r>
    </w:p>
    <w:p w14:paraId="6A1DEA59" w14:textId="77777777" w:rsidR="0030616D" w:rsidRDefault="00A44D2D" w:rsidP="00105766">
      <w:pPr>
        <w:spacing w:line="480" w:lineRule="auto"/>
        <w:ind w:firstLine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>Two new games</w:t>
      </w:r>
      <w:r w:rsidR="0015291F" w:rsidRPr="009461BD">
        <w:rPr>
          <w:sz w:val="24"/>
          <w:szCs w:val="24"/>
        </w:rPr>
        <w:t xml:space="preserve">, </w:t>
      </w:r>
      <w:r w:rsidR="0015291F">
        <w:rPr>
          <w:sz w:val="24"/>
          <w:szCs w:val="24"/>
        </w:rPr>
        <w:t xml:space="preserve">produced as a </w:t>
      </w:r>
      <w:r w:rsidR="0015291F" w:rsidRPr="009461BD">
        <w:rPr>
          <w:sz w:val="24"/>
          <w:szCs w:val="24"/>
        </w:rPr>
        <w:t>part of a collaboration between</w:t>
      </w:r>
      <w:r w:rsidR="0015291F">
        <w:rPr>
          <w:sz w:val="24"/>
          <w:szCs w:val="24"/>
        </w:rPr>
        <w:t xml:space="preserve"> the Emory Center for Digital Scholarship</w:t>
      </w:r>
      <w:r w:rsidR="0015291F" w:rsidRPr="009461BD">
        <w:rPr>
          <w:sz w:val="24"/>
          <w:szCs w:val="24"/>
        </w:rPr>
        <w:t xml:space="preserve"> </w:t>
      </w:r>
      <w:r w:rsidR="0015291F">
        <w:rPr>
          <w:sz w:val="24"/>
          <w:szCs w:val="24"/>
        </w:rPr>
        <w:t>(</w:t>
      </w:r>
      <w:r w:rsidR="0015291F" w:rsidRPr="009461BD">
        <w:rPr>
          <w:sz w:val="24"/>
          <w:szCs w:val="24"/>
        </w:rPr>
        <w:t>ECDS</w:t>
      </w:r>
      <w:r w:rsidR="0015291F">
        <w:rPr>
          <w:sz w:val="24"/>
          <w:szCs w:val="24"/>
        </w:rPr>
        <w:t xml:space="preserve">) and Department of </w:t>
      </w:r>
      <w:r w:rsidR="0015291F" w:rsidRPr="009461BD">
        <w:rPr>
          <w:sz w:val="24"/>
          <w:szCs w:val="24"/>
        </w:rPr>
        <w:t>Classics at Emory University and Kennesaw State University’s Compu</w:t>
      </w:r>
      <w:r w:rsidR="0015291F">
        <w:rPr>
          <w:sz w:val="24"/>
          <w:szCs w:val="24"/>
        </w:rPr>
        <w:t>ter Game Design and Development</w:t>
      </w:r>
      <w:r w:rsidR="0015291F" w:rsidRPr="009461BD">
        <w:rPr>
          <w:sz w:val="24"/>
          <w:szCs w:val="24"/>
        </w:rPr>
        <w:t xml:space="preserve"> program, </w:t>
      </w:r>
      <w:r w:rsidR="00953FC1" w:rsidRPr="0064055A">
        <w:rPr>
          <w:color w:val="000000" w:themeColor="text1"/>
          <w:sz w:val="24"/>
          <w:szCs w:val="24"/>
        </w:rPr>
        <w:t xml:space="preserve">open </w:t>
      </w:r>
      <w:r w:rsidR="009A6F1E">
        <w:rPr>
          <w:color w:val="000000" w:themeColor="text1"/>
          <w:sz w:val="24"/>
          <w:szCs w:val="24"/>
        </w:rPr>
        <w:t>fresh</w:t>
      </w:r>
      <w:r w:rsidR="00953FC1" w:rsidRPr="0064055A">
        <w:rPr>
          <w:color w:val="000000" w:themeColor="text1"/>
          <w:sz w:val="24"/>
          <w:szCs w:val="24"/>
        </w:rPr>
        <w:t xml:space="preserve"> pathways for </w:t>
      </w:r>
      <w:r w:rsidR="009A6F1E">
        <w:rPr>
          <w:color w:val="000000" w:themeColor="text1"/>
          <w:sz w:val="24"/>
          <w:szCs w:val="24"/>
        </w:rPr>
        <w:t>digital play</w:t>
      </w:r>
      <w:r w:rsidR="00953FC1" w:rsidRPr="0064055A">
        <w:rPr>
          <w:color w:val="000000" w:themeColor="text1"/>
          <w:sz w:val="24"/>
          <w:szCs w:val="24"/>
        </w:rPr>
        <w:t xml:space="preserve"> in the Classical classroom, as students </w:t>
      </w:r>
      <w:r w:rsidR="009A6F1E">
        <w:rPr>
          <w:color w:val="000000" w:themeColor="text1"/>
          <w:sz w:val="24"/>
          <w:szCs w:val="24"/>
        </w:rPr>
        <w:t>engage in</w:t>
      </w:r>
      <w:r w:rsidR="00953FC1" w:rsidRPr="0064055A">
        <w:rPr>
          <w:color w:val="000000" w:themeColor="text1"/>
          <w:sz w:val="24"/>
          <w:szCs w:val="24"/>
        </w:rPr>
        <w:t xml:space="preserve"> games played from Athens to Sumer.  </w:t>
      </w:r>
      <w:r w:rsidR="00E908CD" w:rsidRPr="0064055A">
        <w:rPr>
          <w:i/>
          <w:iCs/>
          <w:color w:val="000000" w:themeColor="text1"/>
          <w:sz w:val="24"/>
          <w:szCs w:val="24"/>
        </w:rPr>
        <w:t>Kottabos</w:t>
      </w:r>
      <w:r w:rsidR="0015291F">
        <w:rPr>
          <w:i/>
          <w:iCs/>
          <w:color w:val="000000" w:themeColor="text1"/>
          <w:sz w:val="24"/>
          <w:szCs w:val="24"/>
        </w:rPr>
        <w:t xml:space="preserve"> VR</w:t>
      </w:r>
      <w:r w:rsidR="008F058A" w:rsidRPr="0064055A">
        <w:rPr>
          <w:color w:val="000000" w:themeColor="text1"/>
          <w:sz w:val="24"/>
          <w:szCs w:val="24"/>
        </w:rPr>
        <w:t>, a digital realization of the popular drinking party game,</w:t>
      </w:r>
      <w:r w:rsidR="00E908CD" w:rsidRPr="0064055A">
        <w:rPr>
          <w:color w:val="000000" w:themeColor="text1"/>
          <w:sz w:val="24"/>
          <w:szCs w:val="24"/>
        </w:rPr>
        <w:t xml:space="preserve"> and </w:t>
      </w:r>
      <w:r w:rsidR="00E908CD" w:rsidRPr="0064055A">
        <w:rPr>
          <w:i/>
          <w:iCs/>
          <w:color w:val="000000" w:themeColor="text1"/>
          <w:sz w:val="24"/>
          <w:szCs w:val="24"/>
        </w:rPr>
        <w:t>The Royal Game of Ur</w:t>
      </w:r>
      <w:r w:rsidR="00E908CD" w:rsidRPr="0064055A">
        <w:rPr>
          <w:color w:val="000000" w:themeColor="text1"/>
          <w:sz w:val="24"/>
          <w:szCs w:val="24"/>
        </w:rPr>
        <w:t xml:space="preserve">, </w:t>
      </w:r>
      <w:r w:rsidR="008F058A" w:rsidRPr="0064055A">
        <w:rPr>
          <w:color w:val="000000" w:themeColor="text1"/>
          <w:sz w:val="24"/>
          <w:szCs w:val="24"/>
        </w:rPr>
        <w:t xml:space="preserve">a virtual recreation of the board game known from Sumer to Crete, </w:t>
      </w:r>
      <w:proofErr w:type="gramStart"/>
      <w:r w:rsidR="008F058A" w:rsidRPr="0064055A">
        <w:rPr>
          <w:color w:val="000000" w:themeColor="text1"/>
          <w:sz w:val="24"/>
          <w:szCs w:val="24"/>
        </w:rPr>
        <w:t>Cyprus</w:t>
      </w:r>
      <w:proofErr w:type="gramEnd"/>
      <w:r w:rsidR="008F058A" w:rsidRPr="0064055A">
        <w:rPr>
          <w:color w:val="000000" w:themeColor="text1"/>
          <w:sz w:val="24"/>
          <w:szCs w:val="24"/>
        </w:rPr>
        <w:t xml:space="preserve"> and Asia Minor, will </w:t>
      </w:r>
      <w:r w:rsidR="00E908CD" w:rsidRPr="0064055A">
        <w:rPr>
          <w:color w:val="000000" w:themeColor="text1"/>
          <w:sz w:val="24"/>
          <w:szCs w:val="24"/>
        </w:rPr>
        <w:t>be released on Steam in Spring 2024</w:t>
      </w:r>
      <w:r w:rsidR="008F058A" w:rsidRPr="0064055A">
        <w:rPr>
          <w:color w:val="000000" w:themeColor="text1"/>
          <w:sz w:val="24"/>
          <w:szCs w:val="24"/>
        </w:rPr>
        <w:t>.</w:t>
      </w:r>
      <w:r w:rsidR="00105766" w:rsidRPr="0064055A">
        <w:rPr>
          <w:color w:val="000000" w:themeColor="text1"/>
          <w:sz w:val="24"/>
          <w:szCs w:val="24"/>
        </w:rPr>
        <w:t xml:space="preserve"> The interpersonal scale of the game closes the gap between modern </w:t>
      </w:r>
      <w:r w:rsidR="00975483">
        <w:rPr>
          <w:color w:val="000000" w:themeColor="text1"/>
          <w:sz w:val="24"/>
          <w:szCs w:val="24"/>
        </w:rPr>
        <w:t>players</w:t>
      </w:r>
      <w:r w:rsidR="00105766" w:rsidRPr="0064055A">
        <w:rPr>
          <w:color w:val="000000" w:themeColor="text1"/>
          <w:sz w:val="24"/>
          <w:szCs w:val="24"/>
        </w:rPr>
        <w:t xml:space="preserve"> and ancient </w:t>
      </w:r>
      <w:r w:rsidR="00975483">
        <w:rPr>
          <w:color w:val="000000" w:themeColor="text1"/>
          <w:sz w:val="24"/>
          <w:szCs w:val="24"/>
        </w:rPr>
        <w:t xml:space="preserve">lived </w:t>
      </w:r>
      <w:proofErr w:type="gramStart"/>
      <w:r w:rsidR="00975483">
        <w:rPr>
          <w:color w:val="000000" w:themeColor="text1"/>
          <w:sz w:val="24"/>
          <w:szCs w:val="24"/>
        </w:rPr>
        <w:t>experience,</w:t>
      </w:r>
      <w:r w:rsidR="00BA7D29">
        <w:rPr>
          <w:color w:val="000000" w:themeColor="text1"/>
          <w:sz w:val="24"/>
          <w:szCs w:val="24"/>
        </w:rPr>
        <w:t xml:space="preserve"> and</w:t>
      </w:r>
      <w:proofErr w:type="gramEnd"/>
      <w:r w:rsidR="00BA7D29">
        <w:rPr>
          <w:color w:val="000000" w:themeColor="text1"/>
          <w:sz w:val="24"/>
          <w:szCs w:val="24"/>
        </w:rPr>
        <w:t xml:space="preserve"> reduces the distortions attendant on larger scale games. Players encounter multiple</w:t>
      </w:r>
      <w:r w:rsidR="00AB53FF">
        <w:rPr>
          <w:color w:val="000000" w:themeColor="text1"/>
          <w:sz w:val="24"/>
          <w:szCs w:val="24"/>
        </w:rPr>
        <w:t xml:space="preserve"> ancient</w:t>
      </w:r>
      <w:r w:rsidR="00BA7D29">
        <w:rPr>
          <w:color w:val="000000" w:themeColor="text1"/>
          <w:sz w:val="24"/>
          <w:szCs w:val="24"/>
        </w:rPr>
        <w:t xml:space="preserve"> texts appropriate to exclamations </w:t>
      </w:r>
      <w:r w:rsidR="00105766" w:rsidRPr="0064055A">
        <w:rPr>
          <w:color w:val="000000" w:themeColor="text1"/>
          <w:sz w:val="24"/>
          <w:szCs w:val="24"/>
        </w:rPr>
        <w:t xml:space="preserve">of triumph and defeat. Our experience to date highlights the critical value of post-play debriefing as used in serious games for military and business contexts. These suggest the extent to which the students find themselves asking questions not raised through traditional sources </w:t>
      </w:r>
      <w:proofErr w:type="gramStart"/>
      <w:r w:rsidR="00105766" w:rsidRPr="0064055A">
        <w:rPr>
          <w:color w:val="000000" w:themeColor="text1"/>
          <w:sz w:val="24"/>
          <w:szCs w:val="24"/>
        </w:rPr>
        <w:t>alone</w:t>
      </w:r>
      <w:r w:rsidR="00CC6B8C" w:rsidRPr="0064055A">
        <w:rPr>
          <w:color w:val="000000" w:themeColor="text1"/>
          <w:sz w:val="24"/>
          <w:szCs w:val="24"/>
        </w:rPr>
        <w:t>, and</w:t>
      </w:r>
      <w:proofErr w:type="gramEnd"/>
      <w:r w:rsidR="00CC6B8C" w:rsidRPr="0064055A">
        <w:rPr>
          <w:color w:val="000000" w:themeColor="text1"/>
          <w:sz w:val="24"/>
          <w:szCs w:val="24"/>
        </w:rPr>
        <w:t xml:space="preserve"> </w:t>
      </w:r>
      <w:r w:rsidR="001D779B" w:rsidRPr="0064055A">
        <w:rPr>
          <w:color w:val="000000" w:themeColor="text1"/>
          <w:sz w:val="24"/>
          <w:szCs w:val="24"/>
        </w:rPr>
        <w:lastRenderedPageBreak/>
        <w:t>manifest a creation of community through game play which offers an especially welcome resource for students who ha</w:t>
      </w:r>
      <w:r w:rsidR="00BE7439" w:rsidRPr="0064055A">
        <w:rPr>
          <w:color w:val="000000" w:themeColor="text1"/>
          <w:sz w:val="24"/>
          <w:szCs w:val="24"/>
        </w:rPr>
        <w:t xml:space="preserve">d multiple semesters restricted solely to online learning. </w:t>
      </w:r>
    </w:p>
    <w:p w14:paraId="2E317B2A" w14:textId="4DD7C7EF" w:rsidR="00574227" w:rsidRPr="0064055A" w:rsidRDefault="00BE7439" w:rsidP="00105766">
      <w:pPr>
        <w:spacing w:line="480" w:lineRule="auto"/>
        <w:ind w:firstLine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 xml:space="preserve"> </w:t>
      </w:r>
      <w:r w:rsidR="001D779B" w:rsidRPr="0064055A">
        <w:rPr>
          <w:color w:val="000000" w:themeColor="text1"/>
          <w:sz w:val="24"/>
          <w:szCs w:val="24"/>
        </w:rPr>
        <w:t xml:space="preserve"> </w:t>
      </w:r>
      <w:r w:rsidR="008F058A" w:rsidRPr="0064055A">
        <w:rPr>
          <w:color w:val="000000" w:themeColor="text1"/>
          <w:sz w:val="24"/>
          <w:szCs w:val="24"/>
        </w:rPr>
        <w:t xml:space="preserve"> </w:t>
      </w:r>
      <w:r w:rsidRPr="0064055A">
        <w:rPr>
          <w:color w:val="000000" w:themeColor="text1"/>
          <w:sz w:val="24"/>
          <w:szCs w:val="24"/>
        </w:rPr>
        <w:t xml:space="preserve"> </w:t>
      </w:r>
    </w:p>
    <w:p w14:paraId="62023BC4" w14:textId="0ABBC485" w:rsidR="0030616D" w:rsidRPr="0064055A" w:rsidRDefault="00105766" w:rsidP="0030616D">
      <w:pPr>
        <w:spacing w:line="480" w:lineRule="auto"/>
        <w:ind w:firstLine="720"/>
        <w:contextualSpacing/>
        <w:jc w:val="center"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 xml:space="preserve">Works </w:t>
      </w:r>
      <w:r w:rsidR="0030616D">
        <w:rPr>
          <w:color w:val="000000" w:themeColor="text1"/>
          <w:sz w:val="24"/>
          <w:szCs w:val="24"/>
        </w:rPr>
        <w:t>C</w:t>
      </w:r>
      <w:r w:rsidRPr="0064055A">
        <w:rPr>
          <w:color w:val="000000" w:themeColor="text1"/>
          <w:sz w:val="24"/>
          <w:szCs w:val="24"/>
        </w:rPr>
        <w:t>ited</w:t>
      </w:r>
    </w:p>
    <w:p w14:paraId="7B382284" w14:textId="77777777" w:rsidR="0064055A" w:rsidRDefault="00BB0E7C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>Arbuckle MacLeod, C</w:t>
      </w:r>
      <w:r w:rsidR="00FD3029" w:rsidRPr="0064055A">
        <w:rPr>
          <w:color w:val="000000" w:themeColor="text1"/>
          <w:sz w:val="24"/>
          <w:szCs w:val="24"/>
        </w:rPr>
        <w:t xml:space="preserve">. </w:t>
      </w:r>
      <w:r w:rsidR="0064055A">
        <w:rPr>
          <w:color w:val="000000" w:themeColor="text1"/>
          <w:sz w:val="24"/>
          <w:szCs w:val="24"/>
        </w:rPr>
        <w:t>(</w:t>
      </w:r>
      <w:r w:rsidR="00FD3029" w:rsidRPr="0064055A">
        <w:rPr>
          <w:color w:val="000000" w:themeColor="text1"/>
          <w:sz w:val="24"/>
          <w:szCs w:val="24"/>
        </w:rPr>
        <w:t>2021</w:t>
      </w:r>
      <w:r w:rsidR="0064055A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 “Undergraduate Teaching and Assa</w:t>
      </w:r>
      <w:r w:rsidR="00B51FBC" w:rsidRPr="0064055A">
        <w:rPr>
          <w:color w:val="000000" w:themeColor="text1"/>
          <w:sz w:val="24"/>
          <w:szCs w:val="24"/>
        </w:rPr>
        <w:t>s</w:t>
      </w:r>
      <w:r w:rsidRPr="0064055A">
        <w:rPr>
          <w:color w:val="000000" w:themeColor="text1"/>
          <w:sz w:val="24"/>
          <w:szCs w:val="24"/>
        </w:rPr>
        <w:t>sin’s Creed: Discussing Archaeology with Digital Games</w:t>
      </w:r>
      <w:r w:rsidR="0064055A">
        <w:rPr>
          <w:color w:val="000000" w:themeColor="text1"/>
          <w:sz w:val="24"/>
          <w:szCs w:val="24"/>
        </w:rPr>
        <w:t xml:space="preserve">,” </w:t>
      </w:r>
      <w:r w:rsidRPr="0064055A">
        <w:rPr>
          <w:i/>
          <w:iCs/>
          <w:color w:val="000000" w:themeColor="text1"/>
          <w:sz w:val="24"/>
          <w:szCs w:val="24"/>
        </w:rPr>
        <w:t>Advances in Archaeo</w:t>
      </w:r>
      <w:r w:rsidR="00FD3029" w:rsidRPr="0064055A">
        <w:rPr>
          <w:i/>
          <w:iCs/>
          <w:color w:val="000000" w:themeColor="text1"/>
          <w:sz w:val="24"/>
          <w:szCs w:val="24"/>
        </w:rPr>
        <w:t>l</w:t>
      </w:r>
      <w:r w:rsidRPr="0064055A">
        <w:rPr>
          <w:i/>
          <w:iCs/>
          <w:color w:val="000000" w:themeColor="text1"/>
          <w:sz w:val="24"/>
          <w:szCs w:val="24"/>
        </w:rPr>
        <w:t>ogical Practice</w:t>
      </w:r>
      <w:r w:rsidRPr="0064055A">
        <w:rPr>
          <w:color w:val="000000" w:themeColor="text1"/>
          <w:sz w:val="24"/>
          <w:szCs w:val="24"/>
        </w:rPr>
        <w:t xml:space="preserve"> 9.2</w:t>
      </w:r>
      <w:r w:rsidR="0064055A">
        <w:rPr>
          <w:color w:val="000000" w:themeColor="text1"/>
          <w:sz w:val="24"/>
          <w:szCs w:val="24"/>
        </w:rPr>
        <w:t xml:space="preserve">: </w:t>
      </w:r>
      <w:r w:rsidRPr="0064055A">
        <w:rPr>
          <w:color w:val="000000" w:themeColor="text1"/>
          <w:sz w:val="24"/>
          <w:szCs w:val="24"/>
        </w:rPr>
        <w:t>101-109</w:t>
      </w:r>
      <w:r w:rsidR="0064055A">
        <w:rPr>
          <w:color w:val="000000" w:themeColor="text1"/>
          <w:sz w:val="24"/>
          <w:szCs w:val="24"/>
        </w:rPr>
        <w:t>.</w:t>
      </w:r>
    </w:p>
    <w:p w14:paraId="3F608E52" w14:textId="32C8F987" w:rsidR="00D249EA" w:rsidRPr="0064055A" w:rsidRDefault="00C52DE6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>Champion, E</w:t>
      </w:r>
      <w:r w:rsidR="0064055A">
        <w:rPr>
          <w:color w:val="000000" w:themeColor="text1"/>
          <w:sz w:val="24"/>
          <w:szCs w:val="24"/>
        </w:rPr>
        <w:t xml:space="preserve">.M. (2015) </w:t>
      </w:r>
      <w:r w:rsidR="00CC6B8C" w:rsidRPr="0064055A">
        <w:rPr>
          <w:i/>
          <w:iCs/>
          <w:color w:val="000000" w:themeColor="text1"/>
          <w:sz w:val="24"/>
          <w:szCs w:val="24"/>
        </w:rPr>
        <w:t>Critical Gaming: Interactive History and Virtual Heritage</w:t>
      </w:r>
      <w:r w:rsidR="00CC6B8C" w:rsidRPr="0064055A">
        <w:rPr>
          <w:color w:val="000000" w:themeColor="text1"/>
          <w:sz w:val="24"/>
          <w:szCs w:val="24"/>
        </w:rPr>
        <w:t>. London: Routledge</w:t>
      </w:r>
      <w:r w:rsidR="0064055A">
        <w:rPr>
          <w:color w:val="000000" w:themeColor="text1"/>
          <w:sz w:val="24"/>
          <w:szCs w:val="24"/>
        </w:rPr>
        <w:t>.</w:t>
      </w:r>
    </w:p>
    <w:p w14:paraId="1713B65C" w14:textId="4D7F8001" w:rsidR="00105766" w:rsidRPr="0064055A" w:rsidRDefault="00D249EA" w:rsidP="00105766">
      <w:pPr>
        <w:autoSpaceDE w:val="0"/>
        <w:autoSpaceDN w:val="0"/>
        <w:adjustRightInd w:val="0"/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 xml:space="preserve">Graham, S. </w:t>
      </w:r>
      <w:r w:rsidR="0064055A">
        <w:rPr>
          <w:color w:val="000000" w:themeColor="text1"/>
          <w:sz w:val="24"/>
          <w:szCs w:val="24"/>
        </w:rPr>
        <w:t>(</w:t>
      </w:r>
      <w:r w:rsidRPr="0064055A">
        <w:rPr>
          <w:color w:val="000000" w:themeColor="text1"/>
          <w:sz w:val="24"/>
          <w:szCs w:val="24"/>
        </w:rPr>
        <w:t>2014</w:t>
      </w:r>
      <w:r w:rsidR="0064055A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 </w:t>
      </w:r>
      <w:r w:rsidR="0064055A">
        <w:rPr>
          <w:color w:val="000000" w:themeColor="text1"/>
          <w:sz w:val="24"/>
          <w:szCs w:val="24"/>
        </w:rPr>
        <w:t>“</w:t>
      </w:r>
      <w:r w:rsidRPr="0064055A">
        <w:rPr>
          <w:color w:val="000000" w:themeColor="text1"/>
          <w:sz w:val="24"/>
          <w:szCs w:val="24"/>
        </w:rPr>
        <w:t>Rolling Your Own: On Modding Commercial Games for Educational Goals.</w:t>
      </w:r>
      <w:r w:rsidR="0064055A">
        <w:rPr>
          <w:color w:val="000000" w:themeColor="text1"/>
          <w:sz w:val="24"/>
          <w:szCs w:val="24"/>
        </w:rPr>
        <w:t>”</w:t>
      </w:r>
      <w:r w:rsidRPr="0064055A">
        <w:rPr>
          <w:color w:val="000000" w:themeColor="text1"/>
          <w:sz w:val="24"/>
          <w:szCs w:val="24"/>
        </w:rPr>
        <w:t xml:space="preserve"> In</w:t>
      </w:r>
      <w:r w:rsidR="0064055A">
        <w:rPr>
          <w:color w:val="000000" w:themeColor="text1"/>
          <w:sz w:val="24"/>
          <w:szCs w:val="24"/>
        </w:rPr>
        <w:t xml:space="preserve"> K. Kee (ed.),</w:t>
      </w:r>
      <w:r w:rsidRPr="0064055A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4055A">
        <w:rPr>
          <w:i/>
          <w:iCs/>
          <w:color w:val="000000" w:themeColor="text1"/>
          <w:sz w:val="24"/>
          <w:szCs w:val="24"/>
        </w:rPr>
        <w:t>Pastplay</w:t>
      </w:r>
      <w:proofErr w:type="spellEnd"/>
      <w:r w:rsidRPr="0064055A">
        <w:rPr>
          <w:i/>
          <w:iCs/>
          <w:color w:val="000000" w:themeColor="text1"/>
          <w:sz w:val="24"/>
          <w:szCs w:val="24"/>
        </w:rPr>
        <w:t>: Teaching and Learning History with Technology</w:t>
      </w:r>
      <w:r w:rsidR="0064055A">
        <w:rPr>
          <w:i/>
          <w:iCs/>
          <w:color w:val="000000" w:themeColor="text1"/>
          <w:sz w:val="24"/>
          <w:szCs w:val="24"/>
        </w:rPr>
        <w:t>.</w:t>
      </w:r>
      <w:r w:rsidRPr="0064055A">
        <w:rPr>
          <w:i/>
          <w:iCs/>
          <w:color w:val="000000" w:themeColor="text1"/>
          <w:sz w:val="24"/>
          <w:szCs w:val="24"/>
        </w:rPr>
        <w:t xml:space="preserve"> </w:t>
      </w:r>
      <w:r w:rsidR="0064055A">
        <w:rPr>
          <w:color w:val="000000" w:themeColor="text1"/>
          <w:sz w:val="24"/>
          <w:szCs w:val="24"/>
        </w:rPr>
        <w:t>=</w:t>
      </w:r>
      <w:r w:rsidRPr="0064055A">
        <w:rPr>
          <w:color w:val="000000" w:themeColor="text1"/>
          <w:sz w:val="24"/>
          <w:szCs w:val="24"/>
        </w:rPr>
        <w:t xml:space="preserve"> Ann Arbor</w:t>
      </w:r>
      <w:r w:rsidR="0064055A">
        <w:rPr>
          <w:color w:val="000000" w:themeColor="text1"/>
          <w:sz w:val="24"/>
          <w:szCs w:val="24"/>
        </w:rPr>
        <w:t>:</w:t>
      </w:r>
      <w:r w:rsidRPr="0064055A">
        <w:rPr>
          <w:color w:val="000000" w:themeColor="text1"/>
          <w:sz w:val="24"/>
          <w:szCs w:val="24"/>
        </w:rPr>
        <w:t xml:space="preserve"> University of Michigan Press</w:t>
      </w:r>
      <w:r w:rsidR="0064055A">
        <w:rPr>
          <w:color w:val="000000" w:themeColor="text1"/>
          <w:sz w:val="24"/>
          <w:szCs w:val="24"/>
        </w:rPr>
        <w:t>, 214054</w:t>
      </w:r>
      <w:r w:rsidRPr="0064055A">
        <w:rPr>
          <w:color w:val="000000" w:themeColor="text1"/>
          <w:sz w:val="24"/>
          <w:szCs w:val="24"/>
        </w:rPr>
        <w:t xml:space="preserve">. </w:t>
      </w:r>
    </w:p>
    <w:p w14:paraId="150226FC" w14:textId="06A6545B" w:rsidR="006B5EB1" w:rsidRPr="0064055A" w:rsidRDefault="00C52DE6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proofErr w:type="spellStart"/>
      <w:r w:rsidRPr="0064055A">
        <w:rPr>
          <w:color w:val="000000" w:themeColor="text1"/>
          <w:sz w:val="24"/>
          <w:szCs w:val="24"/>
        </w:rPr>
        <w:t>Bourgonjon</w:t>
      </w:r>
      <w:proofErr w:type="spellEnd"/>
      <w:r w:rsidRPr="0064055A">
        <w:rPr>
          <w:color w:val="000000" w:themeColor="text1"/>
          <w:sz w:val="24"/>
          <w:szCs w:val="24"/>
        </w:rPr>
        <w:t xml:space="preserve">, </w:t>
      </w:r>
      <w:r w:rsidR="0064055A">
        <w:rPr>
          <w:color w:val="000000" w:themeColor="text1"/>
          <w:sz w:val="24"/>
          <w:szCs w:val="24"/>
        </w:rPr>
        <w:t>J.</w:t>
      </w:r>
      <w:r w:rsidRPr="0064055A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64055A">
        <w:rPr>
          <w:color w:val="000000" w:themeColor="text1"/>
          <w:sz w:val="24"/>
          <w:szCs w:val="24"/>
        </w:rPr>
        <w:t>M</w:t>
      </w:r>
      <w:r w:rsidR="0064055A">
        <w:rPr>
          <w:color w:val="000000" w:themeColor="text1"/>
          <w:sz w:val="24"/>
          <w:szCs w:val="24"/>
        </w:rPr>
        <w:t>.</w:t>
      </w:r>
      <w:r w:rsidRPr="0064055A">
        <w:rPr>
          <w:color w:val="000000" w:themeColor="text1"/>
          <w:sz w:val="24"/>
          <w:szCs w:val="24"/>
        </w:rPr>
        <w:t>Valcke</w:t>
      </w:r>
      <w:proofErr w:type="spellEnd"/>
      <w:proofErr w:type="gramEnd"/>
      <w:r w:rsidRPr="0064055A">
        <w:rPr>
          <w:color w:val="000000" w:themeColor="text1"/>
          <w:sz w:val="24"/>
          <w:szCs w:val="24"/>
        </w:rPr>
        <w:t>, R</w:t>
      </w:r>
      <w:r w:rsidR="0064055A">
        <w:rPr>
          <w:color w:val="000000" w:themeColor="text1"/>
          <w:sz w:val="24"/>
          <w:szCs w:val="24"/>
        </w:rPr>
        <w:t>.</w:t>
      </w:r>
      <w:r w:rsidRPr="0064055A">
        <w:rPr>
          <w:color w:val="000000" w:themeColor="text1"/>
          <w:sz w:val="24"/>
          <w:szCs w:val="24"/>
        </w:rPr>
        <w:t xml:space="preserve"> </w:t>
      </w:r>
      <w:proofErr w:type="spellStart"/>
      <w:r w:rsidRPr="0064055A">
        <w:rPr>
          <w:color w:val="000000" w:themeColor="text1"/>
          <w:sz w:val="24"/>
          <w:szCs w:val="24"/>
        </w:rPr>
        <w:t>Soetert</w:t>
      </w:r>
      <w:proofErr w:type="spellEnd"/>
      <w:r w:rsidRPr="0064055A">
        <w:rPr>
          <w:color w:val="000000" w:themeColor="text1"/>
          <w:sz w:val="24"/>
          <w:szCs w:val="24"/>
        </w:rPr>
        <w:t>, T</w:t>
      </w:r>
      <w:r w:rsidR="0064055A">
        <w:rPr>
          <w:color w:val="000000" w:themeColor="text1"/>
          <w:sz w:val="24"/>
          <w:szCs w:val="24"/>
        </w:rPr>
        <w:t>.</w:t>
      </w:r>
      <w:r w:rsidRPr="0064055A">
        <w:rPr>
          <w:color w:val="000000" w:themeColor="text1"/>
          <w:sz w:val="24"/>
          <w:szCs w:val="24"/>
        </w:rPr>
        <w:t xml:space="preserve"> </w:t>
      </w:r>
      <w:proofErr w:type="spellStart"/>
      <w:r w:rsidRPr="0064055A">
        <w:rPr>
          <w:color w:val="000000" w:themeColor="text1"/>
          <w:sz w:val="24"/>
          <w:szCs w:val="24"/>
        </w:rPr>
        <w:t>Schellens</w:t>
      </w:r>
      <w:proofErr w:type="spellEnd"/>
      <w:r w:rsidR="0064055A">
        <w:rPr>
          <w:color w:val="000000" w:themeColor="text1"/>
          <w:sz w:val="24"/>
          <w:szCs w:val="24"/>
        </w:rPr>
        <w:t xml:space="preserve"> (2010)</w:t>
      </w:r>
      <w:r w:rsidRPr="0064055A">
        <w:rPr>
          <w:color w:val="000000" w:themeColor="text1"/>
          <w:sz w:val="24"/>
          <w:szCs w:val="24"/>
        </w:rPr>
        <w:t xml:space="preserve"> “Students’ perceptions about the use of video games in the classroom</w:t>
      </w:r>
      <w:r w:rsidR="0064055A">
        <w:rPr>
          <w:color w:val="000000" w:themeColor="text1"/>
          <w:sz w:val="24"/>
          <w:szCs w:val="24"/>
        </w:rPr>
        <w:t>,</w:t>
      </w:r>
      <w:r w:rsidRPr="0064055A">
        <w:rPr>
          <w:color w:val="000000" w:themeColor="text1"/>
          <w:sz w:val="24"/>
          <w:szCs w:val="24"/>
        </w:rPr>
        <w:t xml:space="preserve">” </w:t>
      </w:r>
      <w:r w:rsidRPr="0064055A">
        <w:rPr>
          <w:i/>
          <w:iCs/>
          <w:color w:val="000000" w:themeColor="text1"/>
          <w:sz w:val="24"/>
          <w:szCs w:val="24"/>
        </w:rPr>
        <w:t>Computers &amp; Education</w:t>
      </w:r>
      <w:r w:rsidRPr="0064055A">
        <w:rPr>
          <w:color w:val="000000" w:themeColor="text1"/>
          <w:sz w:val="24"/>
          <w:szCs w:val="24"/>
        </w:rPr>
        <w:t xml:space="preserve"> 54: 1145-1156</w:t>
      </w:r>
    </w:p>
    <w:p w14:paraId="3BF01448" w14:textId="25F99DEC" w:rsidR="006B5EB1" w:rsidRPr="0064055A" w:rsidRDefault="006B5EB1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 xml:space="preserve">McGonigal, J. </w:t>
      </w:r>
      <w:r w:rsidR="00BA47E5">
        <w:rPr>
          <w:color w:val="000000" w:themeColor="text1"/>
          <w:sz w:val="24"/>
          <w:szCs w:val="24"/>
        </w:rPr>
        <w:t>(</w:t>
      </w:r>
      <w:r w:rsidRPr="0064055A">
        <w:rPr>
          <w:color w:val="000000" w:themeColor="text1"/>
          <w:sz w:val="24"/>
          <w:szCs w:val="24"/>
        </w:rPr>
        <w:t>2011</w:t>
      </w:r>
      <w:r w:rsidR="00BA47E5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 </w:t>
      </w:r>
      <w:r w:rsidRPr="0064055A">
        <w:rPr>
          <w:i/>
          <w:iCs/>
          <w:color w:val="000000" w:themeColor="text1"/>
          <w:sz w:val="24"/>
          <w:szCs w:val="24"/>
        </w:rPr>
        <w:t>Reality is Broken: Why Games Make Us Better and How They Can Change the World.</w:t>
      </w:r>
      <w:r w:rsidRPr="0064055A">
        <w:rPr>
          <w:color w:val="000000" w:themeColor="text1"/>
          <w:sz w:val="24"/>
          <w:szCs w:val="24"/>
        </w:rPr>
        <w:t xml:space="preserve"> </w:t>
      </w:r>
      <w:r w:rsidR="00BA47E5">
        <w:rPr>
          <w:color w:val="000000" w:themeColor="text1"/>
          <w:sz w:val="24"/>
          <w:szCs w:val="24"/>
        </w:rPr>
        <w:t xml:space="preserve">New York: </w:t>
      </w:r>
      <w:r w:rsidRPr="0064055A">
        <w:rPr>
          <w:color w:val="000000" w:themeColor="text1"/>
          <w:sz w:val="24"/>
          <w:szCs w:val="24"/>
        </w:rPr>
        <w:t xml:space="preserve">Penguin. </w:t>
      </w:r>
    </w:p>
    <w:p w14:paraId="742EB412" w14:textId="5FB64495" w:rsidR="006B5EB1" w:rsidRPr="0064055A" w:rsidRDefault="006B5EB1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>Rollinger, C</w:t>
      </w:r>
      <w:r w:rsidR="00BA47E5">
        <w:rPr>
          <w:color w:val="000000" w:themeColor="text1"/>
          <w:sz w:val="24"/>
          <w:szCs w:val="24"/>
        </w:rPr>
        <w:t>.,</w:t>
      </w:r>
      <w:r w:rsidRPr="0064055A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4055A">
        <w:rPr>
          <w:color w:val="000000" w:themeColor="text1"/>
          <w:sz w:val="24"/>
          <w:szCs w:val="24"/>
        </w:rPr>
        <w:t>F</w:t>
      </w:r>
      <w:r w:rsidR="00BA47E5">
        <w:rPr>
          <w:color w:val="000000" w:themeColor="text1"/>
          <w:sz w:val="24"/>
          <w:szCs w:val="24"/>
        </w:rPr>
        <w:t>.</w:t>
      </w:r>
      <w:r w:rsidRPr="0064055A">
        <w:rPr>
          <w:color w:val="000000" w:themeColor="text1"/>
          <w:sz w:val="24"/>
          <w:szCs w:val="24"/>
        </w:rPr>
        <w:t>Carla</w:t>
      </w:r>
      <w:proofErr w:type="gramEnd"/>
      <w:r w:rsidRPr="0064055A">
        <w:rPr>
          <w:color w:val="000000" w:themeColor="text1"/>
          <w:sz w:val="24"/>
          <w:szCs w:val="24"/>
        </w:rPr>
        <w:t>-Uhink</w:t>
      </w:r>
      <w:proofErr w:type="spellEnd"/>
      <w:r w:rsidRPr="0064055A">
        <w:rPr>
          <w:color w:val="000000" w:themeColor="text1"/>
          <w:sz w:val="24"/>
          <w:szCs w:val="24"/>
        </w:rPr>
        <w:t xml:space="preserve"> and M</w:t>
      </w:r>
      <w:r w:rsidR="00BA47E5">
        <w:rPr>
          <w:color w:val="000000" w:themeColor="text1"/>
          <w:sz w:val="24"/>
          <w:szCs w:val="24"/>
        </w:rPr>
        <w:t>.</w:t>
      </w:r>
      <w:r w:rsidRPr="0064055A">
        <w:rPr>
          <w:color w:val="000000" w:themeColor="text1"/>
          <w:sz w:val="24"/>
          <w:szCs w:val="24"/>
        </w:rPr>
        <w:t xml:space="preserve"> Lindner</w:t>
      </w:r>
      <w:r w:rsidR="00BA47E5">
        <w:rPr>
          <w:color w:val="000000" w:themeColor="text1"/>
          <w:sz w:val="24"/>
          <w:szCs w:val="24"/>
        </w:rPr>
        <w:t xml:space="preserve"> (</w:t>
      </w:r>
      <w:proofErr w:type="spellStart"/>
      <w:r w:rsidRPr="0064055A">
        <w:rPr>
          <w:color w:val="000000" w:themeColor="text1"/>
          <w:sz w:val="24"/>
          <w:szCs w:val="24"/>
        </w:rPr>
        <w:t>ed.s</w:t>
      </w:r>
      <w:proofErr w:type="spellEnd"/>
      <w:r w:rsidR="00BA47E5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. </w:t>
      </w:r>
      <w:r w:rsidR="00BA47E5">
        <w:rPr>
          <w:color w:val="000000" w:themeColor="text1"/>
          <w:sz w:val="24"/>
          <w:szCs w:val="24"/>
        </w:rPr>
        <w:t>(</w:t>
      </w:r>
      <w:r w:rsidRPr="0064055A">
        <w:rPr>
          <w:color w:val="000000" w:themeColor="text1"/>
          <w:sz w:val="24"/>
          <w:szCs w:val="24"/>
        </w:rPr>
        <w:t>2020</w:t>
      </w:r>
      <w:r w:rsidR="00BA47E5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. </w:t>
      </w:r>
      <w:r w:rsidRPr="0064055A">
        <w:rPr>
          <w:i/>
          <w:iCs/>
          <w:color w:val="000000" w:themeColor="text1"/>
          <w:sz w:val="24"/>
          <w:szCs w:val="24"/>
        </w:rPr>
        <w:t>Classical Antiquity in Video Games: Playing with the Ancient World</w:t>
      </w:r>
      <w:r w:rsidR="00BA47E5">
        <w:rPr>
          <w:i/>
          <w:iCs/>
          <w:color w:val="000000" w:themeColor="text1"/>
          <w:sz w:val="24"/>
          <w:szCs w:val="24"/>
        </w:rPr>
        <w:t>.</w:t>
      </w:r>
      <w:r w:rsidR="00BA47E5">
        <w:rPr>
          <w:color w:val="000000" w:themeColor="text1"/>
          <w:sz w:val="24"/>
          <w:szCs w:val="24"/>
        </w:rPr>
        <w:t xml:space="preserve"> London: Bloomsbury.</w:t>
      </w:r>
      <w:r w:rsidRPr="0064055A">
        <w:rPr>
          <w:color w:val="000000" w:themeColor="text1"/>
          <w:sz w:val="24"/>
          <w:szCs w:val="24"/>
        </w:rPr>
        <w:t xml:space="preserve"> </w:t>
      </w:r>
    </w:p>
    <w:p w14:paraId="6BB11474" w14:textId="2521544C" w:rsidR="006B5EB1" w:rsidRPr="0064055A" w:rsidRDefault="006B5EB1" w:rsidP="00105766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proofErr w:type="spellStart"/>
      <w:r w:rsidRPr="0064055A">
        <w:rPr>
          <w:color w:val="000000" w:themeColor="text1"/>
          <w:sz w:val="24"/>
          <w:szCs w:val="24"/>
        </w:rPr>
        <w:t>Secci</w:t>
      </w:r>
      <w:proofErr w:type="spellEnd"/>
      <w:r w:rsidRPr="0064055A">
        <w:rPr>
          <w:color w:val="000000" w:themeColor="text1"/>
          <w:sz w:val="24"/>
          <w:szCs w:val="24"/>
        </w:rPr>
        <w:t>, D</w:t>
      </w:r>
      <w:r w:rsidR="00BA47E5">
        <w:rPr>
          <w:color w:val="000000" w:themeColor="text1"/>
          <w:sz w:val="24"/>
          <w:szCs w:val="24"/>
        </w:rPr>
        <w:t>.A. (</w:t>
      </w:r>
      <w:r w:rsidRPr="0064055A">
        <w:rPr>
          <w:color w:val="000000" w:themeColor="text1"/>
          <w:sz w:val="24"/>
          <w:szCs w:val="24"/>
        </w:rPr>
        <w:t>2019</w:t>
      </w:r>
      <w:r w:rsidR="00BA47E5">
        <w:rPr>
          <w:color w:val="000000" w:themeColor="text1"/>
          <w:sz w:val="24"/>
          <w:szCs w:val="24"/>
        </w:rPr>
        <w:t>)</w:t>
      </w:r>
      <w:r w:rsidRPr="0064055A">
        <w:rPr>
          <w:color w:val="000000" w:themeColor="text1"/>
          <w:sz w:val="24"/>
          <w:szCs w:val="24"/>
        </w:rPr>
        <w:t xml:space="preserve">.  “Antiquity in Videogames. Genres and Approaches.” In </w:t>
      </w:r>
      <w:r w:rsidRPr="0064055A">
        <w:rPr>
          <w:i/>
          <w:iCs/>
          <w:color w:val="000000" w:themeColor="text1"/>
          <w:sz w:val="24"/>
          <w:szCs w:val="24"/>
        </w:rPr>
        <w:t>The Present of Antiquity. Reception, Recovery, Reinvention of the Ancient World in Current Popular Culture,</w:t>
      </w:r>
      <w:r w:rsidRPr="0064055A">
        <w:rPr>
          <w:color w:val="000000" w:themeColor="text1"/>
          <w:sz w:val="24"/>
          <w:szCs w:val="24"/>
        </w:rPr>
        <w:t xml:space="preserve"> </w:t>
      </w:r>
      <w:r w:rsidRPr="0064055A">
        <w:rPr>
          <w:i/>
          <w:iCs/>
          <w:color w:val="000000" w:themeColor="text1"/>
          <w:sz w:val="24"/>
          <w:szCs w:val="24"/>
        </w:rPr>
        <w:t xml:space="preserve">Collection de </w:t>
      </w:r>
      <w:proofErr w:type="spellStart"/>
      <w:r w:rsidRPr="0064055A">
        <w:rPr>
          <w:i/>
          <w:iCs/>
          <w:color w:val="000000" w:themeColor="text1"/>
          <w:sz w:val="24"/>
          <w:szCs w:val="24"/>
        </w:rPr>
        <w:t>l’Institut</w:t>
      </w:r>
      <w:proofErr w:type="spellEnd"/>
      <w:r w:rsidRPr="0064055A">
        <w:rPr>
          <w:i/>
          <w:iCs/>
          <w:color w:val="000000" w:themeColor="text1"/>
          <w:sz w:val="24"/>
          <w:szCs w:val="24"/>
        </w:rPr>
        <w:t xml:space="preserve"> des Sciences et Techniques de </w:t>
      </w:r>
      <w:proofErr w:type="spellStart"/>
      <w:r w:rsidRPr="0064055A">
        <w:rPr>
          <w:i/>
          <w:iCs/>
          <w:color w:val="000000" w:themeColor="text1"/>
          <w:sz w:val="24"/>
          <w:szCs w:val="24"/>
        </w:rPr>
        <w:t>l’Antiquité</w:t>
      </w:r>
      <w:proofErr w:type="spellEnd"/>
      <w:r w:rsidRPr="0064055A">
        <w:rPr>
          <w:color w:val="000000" w:themeColor="text1"/>
          <w:sz w:val="24"/>
          <w:szCs w:val="24"/>
        </w:rPr>
        <w:t xml:space="preserve"> 2019: 265-294, </w:t>
      </w:r>
      <w:hyperlink r:id="rId7" w:history="1">
        <w:r w:rsidRPr="0064055A">
          <w:rPr>
            <w:rStyle w:val="Hyperlink"/>
            <w:color w:val="000000" w:themeColor="text1"/>
            <w:sz w:val="24"/>
            <w:szCs w:val="24"/>
          </w:rPr>
          <w:t>https://www.persee.fr/doc/ista_0000-0000_2019_ant_1476_1_3784</w:t>
        </w:r>
      </w:hyperlink>
      <w:r w:rsidRPr="0064055A">
        <w:rPr>
          <w:color w:val="000000" w:themeColor="text1"/>
          <w:sz w:val="24"/>
          <w:szCs w:val="24"/>
        </w:rPr>
        <w:t xml:space="preserve">  </w:t>
      </w:r>
    </w:p>
    <w:p w14:paraId="291D1F2A" w14:textId="1EC6FDE8" w:rsidR="004830F4" w:rsidRPr="0064055A" w:rsidRDefault="003E1CBB" w:rsidP="0015291F">
      <w:pPr>
        <w:spacing w:line="480" w:lineRule="auto"/>
        <w:ind w:left="720" w:hanging="720"/>
        <w:contextualSpacing/>
        <w:rPr>
          <w:color w:val="000000" w:themeColor="text1"/>
          <w:sz w:val="24"/>
          <w:szCs w:val="24"/>
        </w:rPr>
      </w:pPr>
      <w:r w:rsidRPr="0064055A">
        <w:rPr>
          <w:color w:val="000000" w:themeColor="text1"/>
          <w:sz w:val="24"/>
          <w:szCs w:val="24"/>
        </w:rPr>
        <w:t>Winter, M.</w:t>
      </w:r>
      <w:r w:rsidR="00CC6B8C" w:rsidRPr="0064055A">
        <w:rPr>
          <w:color w:val="000000" w:themeColor="text1"/>
          <w:sz w:val="24"/>
          <w:szCs w:val="24"/>
        </w:rPr>
        <w:t xml:space="preserve"> (2021)</w:t>
      </w:r>
      <w:r w:rsidRPr="0064055A">
        <w:rPr>
          <w:color w:val="000000" w:themeColor="text1"/>
          <w:sz w:val="24"/>
          <w:szCs w:val="24"/>
        </w:rPr>
        <w:t xml:space="preserve"> “Beyond Tomb and Relic: Anthropological and Pedagogical Approaches to </w:t>
      </w:r>
      <w:proofErr w:type="spellStart"/>
      <w:r w:rsidRPr="0064055A">
        <w:rPr>
          <w:color w:val="000000" w:themeColor="text1"/>
          <w:sz w:val="24"/>
          <w:szCs w:val="24"/>
        </w:rPr>
        <w:t>Archaeogaming</w:t>
      </w:r>
      <w:proofErr w:type="spellEnd"/>
      <w:r w:rsidRPr="0064055A">
        <w:rPr>
          <w:color w:val="000000" w:themeColor="text1"/>
          <w:sz w:val="24"/>
          <w:szCs w:val="24"/>
        </w:rPr>
        <w:t xml:space="preserve">”, </w:t>
      </w:r>
      <w:r w:rsidRPr="0064055A">
        <w:rPr>
          <w:i/>
          <w:iCs/>
          <w:color w:val="000000" w:themeColor="text1"/>
          <w:sz w:val="24"/>
          <w:szCs w:val="24"/>
        </w:rPr>
        <w:t xml:space="preserve">Near Eastern </w:t>
      </w:r>
      <w:proofErr w:type="gramStart"/>
      <w:r w:rsidRPr="0064055A">
        <w:rPr>
          <w:i/>
          <w:iCs/>
          <w:color w:val="000000" w:themeColor="text1"/>
          <w:sz w:val="24"/>
          <w:szCs w:val="24"/>
        </w:rPr>
        <w:t xml:space="preserve">Archaeology  </w:t>
      </w:r>
      <w:r w:rsidRPr="0064055A">
        <w:rPr>
          <w:color w:val="000000" w:themeColor="text1"/>
          <w:sz w:val="24"/>
          <w:szCs w:val="24"/>
        </w:rPr>
        <w:t>84.1</w:t>
      </w:r>
      <w:proofErr w:type="gramEnd"/>
      <w:r w:rsidRPr="0064055A">
        <w:rPr>
          <w:color w:val="000000" w:themeColor="text1"/>
          <w:sz w:val="24"/>
          <w:szCs w:val="24"/>
        </w:rPr>
        <w:t>: 12-21</w:t>
      </w:r>
      <w:r w:rsidR="00FD3029" w:rsidRPr="0064055A">
        <w:rPr>
          <w:color w:val="000000" w:themeColor="text1"/>
          <w:sz w:val="24"/>
          <w:szCs w:val="24"/>
        </w:rPr>
        <w:t>.</w:t>
      </w:r>
    </w:p>
    <w:sectPr w:rsidR="004830F4" w:rsidRPr="0064055A" w:rsidSect="004772C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4162" w14:textId="77777777" w:rsidR="00573F3A" w:rsidRDefault="00573F3A" w:rsidP="00BB0E7C">
      <w:r>
        <w:separator/>
      </w:r>
    </w:p>
  </w:endnote>
  <w:endnote w:type="continuationSeparator" w:id="0">
    <w:p w14:paraId="41D19F47" w14:textId="77777777" w:rsidR="00573F3A" w:rsidRDefault="00573F3A" w:rsidP="00B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2F60" w14:textId="77777777" w:rsidR="00573F3A" w:rsidRDefault="00573F3A" w:rsidP="00BB0E7C">
      <w:r>
        <w:separator/>
      </w:r>
    </w:p>
  </w:footnote>
  <w:footnote w:type="continuationSeparator" w:id="0">
    <w:p w14:paraId="1A6D8775" w14:textId="77777777" w:rsidR="00573F3A" w:rsidRDefault="00573F3A" w:rsidP="00BB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DA7"/>
    <w:multiLevelType w:val="hybridMultilevel"/>
    <w:tmpl w:val="DB54E8A4"/>
    <w:lvl w:ilvl="0" w:tplc="1C506A1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39C"/>
    <w:multiLevelType w:val="hybridMultilevel"/>
    <w:tmpl w:val="40C06022"/>
    <w:lvl w:ilvl="0" w:tplc="3F364FF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6239"/>
    <w:multiLevelType w:val="hybridMultilevel"/>
    <w:tmpl w:val="C6E867BA"/>
    <w:lvl w:ilvl="0" w:tplc="BDD076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7483">
    <w:abstractNumId w:val="2"/>
  </w:num>
  <w:num w:numId="2" w16cid:durableId="1885749102">
    <w:abstractNumId w:val="1"/>
  </w:num>
  <w:num w:numId="3" w16cid:durableId="140602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C0"/>
    <w:rsid w:val="0000387F"/>
    <w:rsid w:val="000C1A74"/>
    <w:rsid w:val="000C79D7"/>
    <w:rsid w:val="00105766"/>
    <w:rsid w:val="00121024"/>
    <w:rsid w:val="00144661"/>
    <w:rsid w:val="0015101A"/>
    <w:rsid w:val="0015291F"/>
    <w:rsid w:val="001D0FA3"/>
    <w:rsid w:val="001D779B"/>
    <w:rsid w:val="002316C0"/>
    <w:rsid w:val="0025209D"/>
    <w:rsid w:val="0030616D"/>
    <w:rsid w:val="00311074"/>
    <w:rsid w:val="00353DCA"/>
    <w:rsid w:val="003E1CBB"/>
    <w:rsid w:val="004772C7"/>
    <w:rsid w:val="004830F4"/>
    <w:rsid w:val="004B1E1F"/>
    <w:rsid w:val="00573F3A"/>
    <w:rsid w:val="00574227"/>
    <w:rsid w:val="00600E19"/>
    <w:rsid w:val="00635819"/>
    <w:rsid w:val="0064055A"/>
    <w:rsid w:val="006B5EB1"/>
    <w:rsid w:val="006E4F14"/>
    <w:rsid w:val="00821B8D"/>
    <w:rsid w:val="008623B4"/>
    <w:rsid w:val="008C7B37"/>
    <w:rsid w:val="008F058A"/>
    <w:rsid w:val="009234A8"/>
    <w:rsid w:val="00953FC1"/>
    <w:rsid w:val="00964305"/>
    <w:rsid w:val="00975483"/>
    <w:rsid w:val="009A6F1E"/>
    <w:rsid w:val="00A44D2D"/>
    <w:rsid w:val="00A669DB"/>
    <w:rsid w:val="00AB53FF"/>
    <w:rsid w:val="00B51FBC"/>
    <w:rsid w:val="00B9561C"/>
    <w:rsid w:val="00BA47E5"/>
    <w:rsid w:val="00BA7D29"/>
    <w:rsid w:val="00BB0E7C"/>
    <w:rsid w:val="00BD5822"/>
    <w:rsid w:val="00BE0876"/>
    <w:rsid w:val="00BE6F93"/>
    <w:rsid w:val="00BE7439"/>
    <w:rsid w:val="00C52DE6"/>
    <w:rsid w:val="00CA74DC"/>
    <w:rsid w:val="00CC6B8C"/>
    <w:rsid w:val="00CD23A6"/>
    <w:rsid w:val="00D249EA"/>
    <w:rsid w:val="00D92BF9"/>
    <w:rsid w:val="00E4111C"/>
    <w:rsid w:val="00E5147D"/>
    <w:rsid w:val="00E908CD"/>
    <w:rsid w:val="00FB0E1A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7BC19"/>
  <w15:chartTrackingRefBased/>
  <w15:docId w15:val="{63F385BF-E8DC-644A-A658-90777975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7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E7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E7C"/>
  </w:style>
  <w:style w:type="character" w:styleId="EndnoteReference">
    <w:name w:val="endnote reference"/>
    <w:basedOn w:val="DefaultParagraphFont"/>
    <w:uiPriority w:val="99"/>
    <w:semiHidden/>
    <w:unhideWhenUsed/>
    <w:rsid w:val="00BB0E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C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4D2D"/>
  </w:style>
  <w:style w:type="character" w:styleId="FollowedHyperlink">
    <w:name w:val="FollowedHyperlink"/>
    <w:basedOn w:val="DefaultParagraphFont"/>
    <w:uiPriority w:val="99"/>
    <w:semiHidden/>
    <w:unhideWhenUsed/>
    <w:rsid w:val="00FD3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see.fr/doc/ista_0000-0000_2019_ant_1476_1_3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Blakely, Sandra</dc:creator>
  <cp:keywords/>
  <dc:description/>
  <cp:lastModifiedBy>T. Davina McClain</cp:lastModifiedBy>
  <cp:revision>2</cp:revision>
  <cp:lastPrinted>2023-10-01T22:05:00Z</cp:lastPrinted>
  <dcterms:created xsi:type="dcterms:W3CDTF">2023-10-04T13:20:00Z</dcterms:created>
  <dcterms:modified xsi:type="dcterms:W3CDTF">2023-10-04T13:20:00Z</dcterms:modified>
</cp:coreProperties>
</file>