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2E" w:rsidRDefault="0013653E" w:rsidP="001365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Sophia Decker</w:t>
      </w:r>
    </w:p>
    <w:p w:rsidR="0013653E" w:rsidRDefault="0013653E" w:rsidP="001365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Kentucky</w:t>
      </w:r>
    </w:p>
    <w:p w:rsidR="0013653E" w:rsidRDefault="0013653E" w:rsidP="0013653E">
      <w:pPr>
        <w:spacing w:after="0"/>
        <w:rPr>
          <w:rFonts w:ascii="Times New Roman" w:hAnsi="Times New Roman" w:cs="Times New Roman"/>
        </w:rPr>
      </w:pPr>
    </w:p>
    <w:p w:rsidR="0013653E" w:rsidRPr="0013653E" w:rsidRDefault="0013653E" w:rsidP="0013653E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Accessit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Latinitas</w:t>
      </w:r>
      <w:proofErr w:type="spellEnd"/>
      <w:r>
        <w:rPr>
          <w:rFonts w:ascii="Times New Roman" w:hAnsi="Times New Roman" w:cs="Times New Roman"/>
        </w:rPr>
        <w:t>: Urbanite Hymnody in the Context of Renaissance Classicism</w:t>
      </w:r>
    </w:p>
    <w:p w:rsidR="003F1B2E" w:rsidRDefault="003F1B2E"/>
    <w:p w:rsidR="0013653E" w:rsidRPr="0013653E" w:rsidRDefault="0013653E">
      <w:pPr>
        <w:rPr>
          <w:rFonts w:ascii="Times New Roman" w:hAnsi="Times New Roman" w:cs="Times New Roman"/>
        </w:rPr>
      </w:pPr>
      <w:r w:rsidRPr="0013653E">
        <w:rPr>
          <w:rFonts w:ascii="Times New Roman" w:hAnsi="Times New Roman" w:cs="Times New Roman"/>
        </w:rPr>
        <w:t>Item 1</w:t>
      </w:r>
    </w:p>
    <w:p w:rsidR="003F1B2E" w:rsidRDefault="003F1B2E" w:rsidP="0013653E">
      <w:pPr>
        <w:jc w:val="center"/>
      </w:pPr>
      <w:r>
        <w:rPr>
          <w:noProof/>
        </w:rPr>
        <w:drawing>
          <wp:inline distT="0" distB="0" distL="0" distR="0">
            <wp:extent cx="4953000" cy="2786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17" cy="2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2E" w:rsidRDefault="0013653E" w:rsidP="0013653E">
      <w:pPr>
        <w:jc w:val="center"/>
      </w:pPr>
      <w:r>
        <w:rPr>
          <w:noProof/>
        </w:rPr>
        <w:drawing>
          <wp:inline distT="0" distB="0" distL="0" distR="0" wp14:anchorId="6597C463" wp14:editId="0A5609DF">
            <wp:extent cx="4924425" cy="77338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80"/>
                    <a:stretch/>
                  </pic:blipFill>
                  <pic:spPr bwMode="auto">
                    <a:xfrm>
                      <a:off x="0" y="0"/>
                      <a:ext cx="5053080" cy="7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B2E" w:rsidRPr="0013653E" w:rsidRDefault="0013653E">
      <w:pPr>
        <w:rPr>
          <w:rFonts w:ascii="Times New Roman" w:hAnsi="Times New Roman" w:cs="Times New Roman"/>
        </w:rPr>
      </w:pPr>
      <w:r w:rsidRPr="0013653E">
        <w:rPr>
          <w:rFonts w:ascii="Times New Roman" w:hAnsi="Times New Roman" w:cs="Times New Roman"/>
        </w:rPr>
        <w:t>Item 2</w:t>
      </w:r>
    </w:p>
    <w:p w:rsidR="003F1B2E" w:rsidRDefault="0013653E" w:rsidP="0013653E">
      <w:pPr>
        <w:jc w:val="center"/>
      </w:pPr>
      <w:r>
        <w:rPr>
          <w:noProof/>
        </w:rPr>
        <w:drawing>
          <wp:inline distT="0" distB="0" distL="0" distR="0">
            <wp:extent cx="4819650" cy="27110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011" cy="273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2E" w:rsidRDefault="0013653E" w:rsidP="0013653E">
      <w:pPr>
        <w:jc w:val="center"/>
      </w:pPr>
      <w:r>
        <w:rPr>
          <w:noProof/>
        </w:rPr>
        <w:lastRenderedPageBreak/>
        <w:drawing>
          <wp:inline distT="0" distB="0" distL="0" distR="0">
            <wp:extent cx="4686300" cy="10814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74"/>
                    <a:stretch/>
                  </pic:blipFill>
                  <pic:spPr bwMode="auto">
                    <a:xfrm>
                      <a:off x="0" y="0"/>
                      <a:ext cx="4753621" cy="10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53E" w:rsidRPr="0013653E" w:rsidRDefault="0013653E">
      <w:pPr>
        <w:rPr>
          <w:rFonts w:ascii="Times New Roman" w:hAnsi="Times New Roman" w:cs="Times New Roman"/>
        </w:rPr>
      </w:pPr>
      <w:r w:rsidRPr="0013653E">
        <w:rPr>
          <w:rFonts w:ascii="Times New Roman" w:hAnsi="Times New Roman" w:cs="Times New Roman"/>
        </w:rPr>
        <w:t>Item 3</w:t>
      </w:r>
    </w:p>
    <w:p w:rsidR="003F1B2E" w:rsidRDefault="003F1B2E" w:rsidP="0013653E">
      <w:pPr>
        <w:jc w:val="center"/>
      </w:pPr>
      <w:r>
        <w:rPr>
          <w:noProof/>
        </w:rPr>
        <w:drawing>
          <wp:inline distT="0" distB="0" distL="0" distR="0">
            <wp:extent cx="4781550" cy="26896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49" cy="269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2E" w:rsidRDefault="003F1B2E" w:rsidP="0013653E">
      <w:pPr>
        <w:jc w:val="center"/>
      </w:pPr>
      <w:r>
        <w:rPr>
          <w:noProof/>
        </w:rPr>
        <w:drawing>
          <wp:inline distT="0" distB="0" distL="0" distR="0">
            <wp:extent cx="4810125" cy="2705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233" cy="2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2E" w:rsidRDefault="003F1B2E" w:rsidP="0013653E">
      <w:pPr>
        <w:jc w:val="center"/>
      </w:pPr>
      <w:r>
        <w:rPr>
          <w:noProof/>
        </w:rPr>
        <w:drawing>
          <wp:inline distT="0" distB="0" distL="0" distR="0">
            <wp:extent cx="4810125" cy="16650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62"/>
                    <a:stretch/>
                  </pic:blipFill>
                  <pic:spPr bwMode="auto">
                    <a:xfrm>
                      <a:off x="0" y="0"/>
                      <a:ext cx="4886877" cy="16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8EC" w:rsidRPr="007568EC" w:rsidRDefault="007568EC" w:rsidP="007568EC">
      <w:pPr>
        <w:spacing w:after="0" w:line="240" w:lineRule="auto"/>
        <w:rPr>
          <w:rFonts w:ascii="Calibri" w:hAnsi="Calibri" w:cs="Calibri"/>
          <w:color w:val="0563C1" w:themeColor="hyperlink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From the compilation of hymns</w:t>
      </w:r>
      <w:r w:rsidRPr="007568EC">
        <w:rPr>
          <w:rFonts w:ascii="Calibri" w:hAnsi="Calibri" w:cs="Calibri"/>
          <w:sz w:val="20"/>
          <w:szCs w:val="20"/>
        </w:rPr>
        <w:t xml:space="preserve"> in </w:t>
      </w:r>
      <w:r w:rsidRPr="007568EC">
        <w:rPr>
          <w:rFonts w:ascii="Calibri" w:hAnsi="Calibri" w:cs="Calibri"/>
          <w:sz w:val="20"/>
          <w:szCs w:val="20"/>
        </w:rPr>
        <w:t>McGrath, George Warren.1939. “The Revision of the Hymns of the Roman Breviary under Urban VIII.” Master’s thesis, Loyola University Chicago.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Pr="000C79EF">
          <w:rPr>
            <w:rStyle w:val="Hyperlink"/>
            <w:rFonts w:ascii="Calibri" w:hAnsi="Calibri" w:cs="Calibri"/>
            <w:sz w:val="20"/>
            <w:szCs w:val="20"/>
          </w:rPr>
          <w:t>http://ecommons.luc.edu/luc_theses/652</w:t>
        </w:r>
      </w:hyperlink>
    </w:p>
    <w:sectPr w:rsidR="007568EC" w:rsidRPr="007568EC" w:rsidSect="007568E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2E"/>
    <w:rsid w:val="000118F4"/>
    <w:rsid w:val="0013653E"/>
    <w:rsid w:val="003F1B2E"/>
    <w:rsid w:val="007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DB1C"/>
  <w15:chartTrackingRefBased/>
  <w15:docId w15:val="{3CD7BBBD-5786-4920-8DCE-A6B25E75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ecommons.luc.edu/luc_theses/652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</dc:creator>
  <cp:keywords/>
  <dc:description/>
  <cp:lastModifiedBy>Σοφία</cp:lastModifiedBy>
  <cp:revision>2</cp:revision>
  <dcterms:created xsi:type="dcterms:W3CDTF">2019-04-03T16:55:00Z</dcterms:created>
  <dcterms:modified xsi:type="dcterms:W3CDTF">2019-04-04T00:53:00Z</dcterms:modified>
</cp:coreProperties>
</file>