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AAA9" w14:textId="77777777" w:rsidR="009E74E7" w:rsidRDefault="009E74E7" w:rsidP="0049782C">
      <w:pPr>
        <w:jc w:val="center"/>
        <w:rPr>
          <w:b/>
          <w:sz w:val="22"/>
          <w:szCs w:val="22"/>
        </w:rPr>
      </w:pPr>
    </w:p>
    <w:p w14:paraId="696FCA84" w14:textId="77777777" w:rsidR="009E74E7" w:rsidRDefault="009E74E7" w:rsidP="0049782C">
      <w:pPr>
        <w:jc w:val="center"/>
        <w:rPr>
          <w:b/>
          <w:sz w:val="22"/>
          <w:szCs w:val="22"/>
        </w:rPr>
      </w:pPr>
    </w:p>
    <w:p w14:paraId="52AD2E02" w14:textId="4953D65E" w:rsidR="004D079D" w:rsidRPr="00C76F7D" w:rsidRDefault="007114C7" w:rsidP="0049782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The Positioned Parasite: Philip in Xenophon’s </w:t>
      </w:r>
      <w:r w:rsidRPr="007114C7">
        <w:rPr>
          <w:b/>
          <w:i/>
          <w:sz w:val="22"/>
          <w:szCs w:val="22"/>
        </w:rPr>
        <w:t>Symposium</w:t>
      </w:r>
    </w:p>
    <w:p w14:paraId="58CAE987" w14:textId="016F4988" w:rsidR="004D079D" w:rsidRPr="00C76F7D" w:rsidRDefault="00132EB6" w:rsidP="0049782C">
      <w:pPr>
        <w:jc w:val="center"/>
        <w:rPr>
          <w:sz w:val="22"/>
          <w:szCs w:val="22"/>
        </w:rPr>
      </w:pPr>
      <w:r w:rsidRPr="00C76F7D">
        <w:rPr>
          <w:sz w:val="22"/>
          <w:szCs w:val="22"/>
        </w:rPr>
        <w:t>Rick Castle</w:t>
      </w:r>
    </w:p>
    <w:p w14:paraId="00B921D8" w14:textId="511B9C91" w:rsidR="009E74E7" w:rsidRDefault="00155D5F" w:rsidP="00155D5F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Brock University</w:t>
      </w:r>
    </w:p>
    <w:p w14:paraId="10BB9F4D" w14:textId="6CE20D6A" w:rsidR="00380961" w:rsidRDefault="00380961" w:rsidP="0049782C">
      <w:pPr>
        <w:spacing w:line="276" w:lineRule="auto"/>
        <w:jc w:val="both"/>
        <w:rPr>
          <w:sz w:val="22"/>
          <w:szCs w:val="22"/>
        </w:rPr>
      </w:pPr>
    </w:p>
    <w:p w14:paraId="0BE6CABE" w14:textId="3C7ED829" w:rsidR="001776EC" w:rsidRPr="00C76F7D" w:rsidRDefault="00C32CE5" w:rsidP="0049782C">
      <w:pPr>
        <w:spacing w:line="276" w:lineRule="auto"/>
        <w:jc w:val="both"/>
        <w:rPr>
          <w:sz w:val="22"/>
          <w:szCs w:val="22"/>
        </w:rPr>
      </w:pPr>
      <w:r w:rsidRPr="00C76F7D">
        <w:rPr>
          <w:sz w:val="22"/>
          <w:szCs w:val="22"/>
        </w:rPr>
        <w:t>1</w:t>
      </w:r>
      <w:r w:rsidR="00A95494" w:rsidRPr="00C76F7D">
        <w:rPr>
          <w:sz w:val="22"/>
          <w:szCs w:val="22"/>
        </w:rPr>
        <w:t xml:space="preserve">. </w:t>
      </w:r>
      <w:r w:rsidR="00DF0B5B">
        <w:rPr>
          <w:b/>
          <w:sz w:val="22"/>
          <w:szCs w:val="22"/>
        </w:rPr>
        <w:t xml:space="preserve">Crashing the Party </w:t>
      </w:r>
    </w:p>
    <w:p w14:paraId="0E8CE0B6" w14:textId="77777777" w:rsidR="001B0E8A" w:rsidRPr="00C76F7D" w:rsidRDefault="001B0E8A" w:rsidP="0049782C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9675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C919AE" w:rsidRPr="00C76F7D" w14:paraId="59794F69" w14:textId="77777777" w:rsidTr="00C919AE">
        <w:tc>
          <w:tcPr>
            <w:tcW w:w="9675" w:type="dxa"/>
          </w:tcPr>
          <w:p w14:paraId="7B51F1EE" w14:textId="2EA93ED9" w:rsidR="00C919AE" w:rsidRPr="00C76F7D" w:rsidRDefault="00C919AE" w:rsidP="0049782C">
            <w:pPr>
              <w:jc w:val="both"/>
              <w:rPr>
                <w:sz w:val="22"/>
                <w:szCs w:val="22"/>
              </w:rPr>
            </w:pPr>
            <w:proofErr w:type="spellStart"/>
            <w:r w:rsidRPr="00C919AE">
              <w:rPr>
                <w:sz w:val="22"/>
                <w:szCs w:val="22"/>
              </w:rPr>
              <w:t>Ὅτι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μὲν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A76470">
              <w:rPr>
                <w:b/>
                <w:sz w:val="22"/>
                <w:szCs w:val="22"/>
              </w:rPr>
              <w:t>γελωτο</w:t>
            </w:r>
            <w:proofErr w:type="spellEnd"/>
            <w:r w:rsidRPr="00A76470">
              <w:rPr>
                <w:b/>
                <w:sz w:val="22"/>
                <w:szCs w:val="22"/>
              </w:rPr>
              <w:t>ποιός</w:t>
            </w:r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εἰμι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ἴστε</w:t>
            </w:r>
            <w:proofErr w:type="spellEnd"/>
            <w:r w:rsidRPr="00C919AE">
              <w:rPr>
                <w:sz w:val="22"/>
                <w:szCs w:val="22"/>
              </w:rPr>
              <w:t xml:space="preserve"> π</w:t>
            </w:r>
            <w:proofErr w:type="spellStart"/>
            <w:r w:rsidRPr="00C919AE">
              <w:rPr>
                <w:sz w:val="22"/>
                <w:szCs w:val="22"/>
              </w:rPr>
              <w:t>άντες</w:t>
            </w:r>
            <w:proofErr w:type="spellEnd"/>
            <w:r w:rsidRPr="00C919AE">
              <w:rPr>
                <w:sz w:val="22"/>
                <w:szCs w:val="22"/>
              </w:rPr>
              <w:t xml:space="preserve">· </w:t>
            </w:r>
            <w:proofErr w:type="spellStart"/>
            <w:r w:rsidRPr="00C919AE">
              <w:rPr>
                <w:sz w:val="22"/>
                <w:szCs w:val="22"/>
              </w:rPr>
              <w:t>ἥκω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δὲ</w:t>
            </w:r>
            <w:proofErr w:type="spellEnd"/>
            <w:r w:rsidRPr="00C919AE">
              <w:rPr>
                <w:sz w:val="22"/>
                <w:szCs w:val="22"/>
              </w:rPr>
              <w:t xml:space="preserve"> π</w:t>
            </w:r>
            <w:proofErr w:type="spellStart"/>
            <w:r w:rsidRPr="00C919AE">
              <w:rPr>
                <w:sz w:val="22"/>
                <w:szCs w:val="22"/>
              </w:rPr>
              <w:t>ροθύμως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νομίσ</w:t>
            </w:r>
            <w:proofErr w:type="spellEnd"/>
            <w:r w:rsidRPr="00C919AE">
              <w:rPr>
                <w:sz w:val="22"/>
                <w:szCs w:val="22"/>
              </w:rPr>
              <w:t xml:space="preserve">ας </w:t>
            </w:r>
            <w:proofErr w:type="spellStart"/>
            <w:r w:rsidRPr="00C919AE">
              <w:rPr>
                <w:sz w:val="22"/>
                <w:szCs w:val="22"/>
              </w:rPr>
              <w:t>γελοιότερον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εἶν</w:t>
            </w:r>
            <w:proofErr w:type="spellEnd"/>
            <w:r w:rsidRPr="00C919AE">
              <w:rPr>
                <w:sz w:val="22"/>
                <w:szCs w:val="22"/>
              </w:rPr>
              <w:t xml:space="preserve">αι </w:t>
            </w:r>
            <w:proofErr w:type="spellStart"/>
            <w:r w:rsidRPr="00C919AE">
              <w:rPr>
                <w:sz w:val="22"/>
                <w:szCs w:val="22"/>
              </w:rPr>
              <w:t>τὸ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ἄκλητον</w:t>
            </w:r>
            <w:proofErr w:type="spellEnd"/>
            <w:r w:rsidRPr="00C919AE">
              <w:rPr>
                <w:sz w:val="22"/>
                <w:szCs w:val="22"/>
              </w:rPr>
              <w:t xml:space="preserve"> ἢ </w:t>
            </w:r>
            <w:proofErr w:type="spellStart"/>
            <w:r w:rsidRPr="00C919AE">
              <w:rPr>
                <w:sz w:val="22"/>
                <w:szCs w:val="22"/>
              </w:rPr>
              <w:t>τὸ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κεκλημένον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ἐλθεῖν</w:t>
            </w:r>
            <w:proofErr w:type="spellEnd"/>
            <w:r w:rsidRPr="00C919AE">
              <w:rPr>
                <w:sz w:val="22"/>
                <w:szCs w:val="22"/>
              </w:rPr>
              <w:t xml:space="preserve"> ἐπὶ </w:t>
            </w:r>
            <w:proofErr w:type="spellStart"/>
            <w:r w:rsidRPr="00C919AE">
              <w:rPr>
                <w:sz w:val="22"/>
                <w:szCs w:val="22"/>
              </w:rPr>
              <w:t>τὸ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δεῖ</w:t>
            </w:r>
            <w:proofErr w:type="spellEnd"/>
            <w:r w:rsidRPr="00C919AE">
              <w:rPr>
                <w:sz w:val="22"/>
                <w:szCs w:val="22"/>
              </w:rPr>
              <w:t>πνον. Κατα</w:t>
            </w:r>
            <w:proofErr w:type="spellStart"/>
            <w:r w:rsidRPr="00C919AE">
              <w:rPr>
                <w:sz w:val="22"/>
                <w:szCs w:val="22"/>
              </w:rPr>
              <w:t>κλίνου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τοίνυν</w:t>
            </w:r>
            <w:proofErr w:type="spellEnd"/>
            <w:r w:rsidRPr="00C919AE">
              <w:rPr>
                <w:sz w:val="22"/>
                <w:szCs w:val="22"/>
              </w:rPr>
              <w:t xml:space="preserve">, </w:t>
            </w:r>
            <w:proofErr w:type="spellStart"/>
            <w:r w:rsidRPr="00C919AE">
              <w:rPr>
                <w:sz w:val="22"/>
                <w:szCs w:val="22"/>
              </w:rPr>
              <w:t>ἔφη</w:t>
            </w:r>
            <w:proofErr w:type="spellEnd"/>
            <w:r w:rsidRPr="00C919AE">
              <w:rPr>
                <w:sz w:val="22"/>
                <w:szCs w:val="22"/>
              </w:rPr>
              <w:t xml:space="preserve"> ὁ Κα</w:t>
            </w:r>
            <w:proofErr w:type="spellStart"/>
            <w:r w:rsidRPr="00C919AE">
              <w:rPr>
                <w:sz w:val="22"/>
                <w:szCs w:val="22"/>
              </w:rPr>
              <w:t>λλί</w:t>
            </w:r>
            <w:proofErr w:type="spellEnd"/>
            <w:r w:rsidRPr="00C919AE">
              <w:rPr>
                <w:sz w:val="22"/>
                <w:szCs w:val="22"/>
              </w:rPr>
              <w:t xml:space="preserve">ας· καὶ </w:t>
            </w:r>
            <w:proofErr w:type="spellStart"/>
            <w:r w:rsidRPr="00C919AE">
              <w:rPr>
                <w:sz w:val="22"/>
                <w:szCs w:val="22"/>
              </w:rPr>
              <w:t>γὰρ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οἱ</w:t>
            </w:r>
            <w:proofErr w:type="spellEnd"/>
            <w:r w:rsidRPr="00C919AE">
              <w:rPr>
                <w:sz w:val="22"/>
                <w:szCs w:val="22"/>
              </w:rPr>
              <w:t xml:space="preserve"> πα</w:t>
            </w:r>
            <w:proofErr w:type="spellStart"/>
            <w:r w:rsidRPr="00C919AE">
              <w:rPr>
                <w:sz w:val="22"/>
                <w:szCs w:val="22"/>
              </w:rPr>
              <w:t>ρόντες</w:t>
            </w:r>
            <w:proofErr w:type="spellEnd"/>
            <w:r w:rsidRPr="00C919AE">
              <w:rPr>
                <w:sz w:val="22"/>
                <w:szCs w:val="22"/>
              </w:rPr>
              <w:t xml:space="preserve"> σπ</w:t>
            </w:r>
            <w:proofErr w:type="spellStart"/>
            <w:r w:rsidRPr="00C919AE">
              <w:rPr>
                <w:sz w:val="22"/>
                <w:szCs w:val="22"/>
              </w:rPr>
              <w:t>ουδῆς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μέν</w:t>
            </w:r>
            <w:proofErr w:type="spellEnd"/>
            <w:r w:rsidRPr="00C919AE">
              <w:rPr>
                <w:sz w:val="22"/>
                <w:szCs w:val="22"/>
              </w:rPr>
              <w:t xml:space="preserve">, </w:t>
            </w:r>
            <w:proofErr w:type="spellStart"/>
            <w:r w:rsidRPr="00C919AE">
              <w:rPr>
                <w:sz w:val="22"/>
                <w:szCs w:val="22"/>
              </w:rPr>
              <w:t>ὡς</w:t>
            </w:r>
            <w:proofErr w:type="spellEnd"/>
            <w:r w:rsidRPr="00C919AE">
              <w:rPr>
                <w:sz w:val="22"/>
                <w:szCs w:val="22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</w:rPr>
              <w:t>ὁρᾷς</w:t>
            </w:r>
            <w:proofErr w:type="spellEnd"/>
            <w:r w:rsidRPr="00C919AE">
              <w:rPr>
                <w:sz w:val="22"/>
                <w:szCs w:val="22"/>
              </w:rPr>
              <w:t xml:space="preserve">, </w:t>
            </w:r>
            <w:proofErr w:type="spellStart"/>
            <w:r w:rsidRPr="00C919AE">
              <w:rPr>
                <w:sz w:val="22"/>
                <w:szCs w:val="22"/>
              </w:rPr>
              <w:t>μεστοί</w:t>
            </w:r>
            <w:proofErr w:type="spellEnd"/>
            <w:r w:rsidRPr="00C919AE">
              <w:rPr>
                <w:sz w:val="22"/>
                <w:szCs w:val="22"/>
              </w:rPr>
              <w:t xml:space="preserve">, </w:t>
            </w:r>
            <w:proofErr w:type="spellStart"/>
            <w:r w:rsidRPr="00A76470">
              <w:rPr>
                <w:b/>
                <w:sz w:val="22"/>
                <w:szCs w:val="22"/>
              </w:rPr>
              <w:t>γέλωτος</w:t>
            </w:r>
            <w:proofErr w:type="spellEnd"/>
            <w:r w:rsidRPr="00A764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6470">
              <w:rPr>
                <w:b/>
                <w:sz w:val="22"/>
                <w:szCs w:val="22"/>
              </w:rPr>
              <w:t>δὲ</w:t>
            </w:r>
            <w:proofErr w:type="spellEnd"/>
            <w:r w:rsidRPr="00A764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6470">
              <w:rPr>
                <w:b/>
                <w:sz w:val="22"/>
                <w:szCs w:val="22"/>
              </w:rPr>
              <w:t>ἴσως</w:t>
            </w:r>
            <w:proofErr w:type="spellEnd"/>
            <w:r w:rsidRPr="00A7647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76470">
              <w:rPr>
                <w:b/>
                <w:sz w:val="22"/>
                <w:szCs w:val="22"/>
              </w:rPr>
              <w:t>ἐνδεέστεροι</w:t>
            </w:r>
            <w:proofErr w:type="spellEnd"/>
            <w:r w:rsidRPr="00A76470">
              <w:rPr>
                <w:b/>
                <w:sz w:val="22"/>
                <w:szCs w:val="22"/>
              </w:rPr>
              <w:t>.</w:t>
            </w:r>
          </w:p>
        </w:tc>
      </w:tr>
    </w:tbl>
    <w:p w14:paraId="76F9528A" w14:textId="7D1F991E" w:rsidR="004D079D" w:rsidRPr="00C76F7D" w:rsidRDefault="004D079D" w:rsidP="0049782C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971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C919AE" w:rsidRPr="00C76F7D" w14:paraId="39C6EC07" w14:textId="77777777" w:rsidTr="00C919AE">
        <w:tc>
          <w:tcPr>
            <w:tcW w:w="9711" w:type="dxa"/>
          </w:tcPr>
          <w:p w14:paraId="5A7F06C7" w14:textId="24DA72B7" w:rsidR="00C919AE" w:rsidRDefault="00C919AE" w:rsidP="0049782C">
            <w:pPr>
              <w:rPr>
                <w:sz w:val="22"/>
                <w:szCs w:val="22"/>
              </w:rPr>
            </w:pPr>
            <w:r w:rsidRPr="00C919AE">
              <w:rPr>
                <w:sz w:val="22"/>
                <w:szCs w:val="22"/>
              </w:rPr>
              <w:t xml:space="preserve">“You all know that I am a </w:t>
            </w:r>
            <w:r w:rsidRPr="00A76470">
              <w:rPr>
                <w:b/>
                <w:sz w:val="22"/>
                <w:szCs w:val="22"/>
              </w:rPr>
              <w:t>comedian</w:t>
            </w:r>
            <w:r w:rsidRPr="00C919AE">
              <w:rPr>
                <w:sz w:val="22"/>
                <w:szCs w:val="22"/>
              </w:rPr>
              <w:t xml:space="preserve">; and </w:t>
            </w:r>
            <w:proofErr w:type="gramStart"/>
            <w:r w:rsidRPr="00C919AE">
              <w:rPr>
                <w:sz w:val="22"/>
                <w:szCs w:val="22"/>
              </w:rPr>
              <w:t>so</w:t>
            </w:r>
            <w:proofErr w:type="gramEnd"/>
            <w:r w:rsidRPr="00C919AE">
              <w:rPr>
                <w:sz w:val="22"/>
                <w:szCs w:val="22"/>
              </w:rPr>
              <w:t xml:space="preserve"> I’ve come here in the firm belief that it’s funnier to come to your dinner uninvited than invited.” “Well, then,” said Callias, “take a seat; for the guests, though well fed, as you can see, on seriousness, are perhaps </w:t>
            </w:r>
            <w:r w:rsidRPr="00A76470">
              <w:rPr>
                <w:b/>
                <w:sz w:val="22"/>
                <w:szCs w:val="22"/>
              </w:rPr>
              <w:t>rather ill supplied with laughter</w:t>
            </w:r>
            <w:r w:rsidRPr="00C919AE">
              <w:rPr>
                <w:sz w:val="22"/>
                <w:szCs w:val="22"/>
              </w:rPr>
              <w:t>.”</w:t>
            </w:r>
          </w:p>
          <w:p w14:paraId="1CCEEB83" w14:textId="1DE90C76" w:rsidR="00C919AE" w:rsidRPr="00C76F7D" w:rsidRDefault="00C919AE" w:rsidP="0049782C">
            <w:pPr>
              <w:rPr>
                <w:sz w:val="22"/>
                <w:szCs w:val="22"/>
              </w:rPr>
            </w:pPr>
            <w:r w:rsidRPr="00C76F7D">
              <w:rPr>
                <w:sz w:val="22"/>
                <w:szCs w:val="22"/>
              </w:rPr>
              <w:t xml:space="preserve">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C76F7D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Xen. </w:t>
            </w:r>
            <w:proofErr w:type="spellStart"/>
            <w:r>
              <w:rPr>
                <w:i/>
                <w:sz w:val="22"/>
                <w:szCs w:val="22"/>
              </w:rPr>
              <w:t>Symp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1.13</w:t>
            </w:r>
            <w:r w:rsidRPr="00C76F7D">
              <w:rPr>
                <w:sz w:val="22"/>
                <w:szCs w:val="22"/>
              </w:rPr>
              <w:t xml:space="preserve">   </w:t>
            </w:r>
          </w:p>
        </w:tc>
      </w:tr>
    </w:tbl>
    <w:p w14:paraId="4E77C719" w14:textId="653DA0FE" w:rsidR="00AC1F6F" w:rsidRPr="00C76F7D" w:rsidRDefault="00AC1F6F" w:rsidP="0049782C">
      <w:pPr>
        <w:spacing w:line="276" w:lineRule="auto"/>
        <w:jc w:val="both"/>
        <w:rPr>
          <w:sz w:val="22"/>
          <w:szCs w:val="22"/>
        </w:rPr>
      </w:pPr>
    </w:p>
    <w:p w14:paraId="6A3C04A1" w14:textId="56310B13" w:rsidR="001B0E8A" w:rsidRDefault="001B0E8A" w:rsidP="0049782C">
      <w:pPr>
        <w:spacing w:line="276" w:lineRule="auto"/>
        <w:contextualSpacing/>
        <w:jc w:val="both"/>
        <w:rPr>
          <w:b/>
          <w:sz w:val="22"/>
          <w:szCs w:val="22"/>
        </w:rPr>
      </w:pPr>
      <w:r w:rsidRPr="00C76F7D">
        <w:rPr>
          <w:sz w:val="22"/>
          <w:szCs w:val="22"/>
        </w:rPr>
        <w:t xml:space="preserve">2. </w:t>
      </w:r>
      <w:r w:rsidR="00C919AE">
        <w:rPr>
          <w:b/>
          <w:sz w:val="22"/>
          <w:szCs w:val="22"/>
        </w:rPr>
        <w:t>The Joke Falls Flat</w:t>
      </w:r>
    </w:p>
    <w:p w14:paraId="4609E615" w14:textId="77777777" w:rsidR="00E300B5" w:rsidRPr="00C76F7D" w:rsidRDefault="00E300B5" w:rsidP="0049782C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Style w:val="TableGrid"/>
        <w:tblW w:w="971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C919AE" w:rsidRPr="00C919AE" w14:paraId="05157BCA" w14:textId="77777777" w:rsidTr="0049782C">
        <w:trPr>
          <w:trHeight w:val="1089"/>
        </w:trPr>
        <w:tc>
          <w:tcPr>
            <w:tcW w:w="9711" w:type="dxa"/>
          </w:tcPr>
          <w:p w14:paraId="6B10D725" w14:textId="4B526DFE" w:rsidR="00C919AE" w:rsidRPr="00C919AE" w:rsidRDefault="00C919AE" w:rsidP="00C25B9E">
            <w:pPr>
              <w:contextualSpacing/>
              <w:rPr>
                <w:sz w:val="22"/>
                <w:szCs w:val="22"/>
                <w:lang w:val="en-CA"/>
              </w:rPr>
            </w:pP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Δει</w:t>
            </w:r>
            <w:proofErr w:type="spellEnd"/>
            <w:r w:rsidRPr="00A76470">
              <w:rPr>
                <w:b/>
                <w:sz w:val="22"/>
                <w:szCs w:val="22"/>
                <w:lang w:val="en-CA"/>
              </w:rPr>
              <w:t xml:space="preserve">πνούντων 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δὲ</w:t>
            </w:r>
            <w:proofErr w:type="spellEnd"/>
            <w:r w:rsidRPr="00A76470">
              <w:rPr>
                <w:b/>
                <w:sz w:val="22"/>
                <w:szCs w:val="22"/>
                <w:lang w:val="en-CA"/>
              </w:rPr>
              <w:t xml:space="preserve"> α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ὐτῶν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ὁ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Φίλι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ππος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γελοῖόν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τι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εὐθὺς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ἐπ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εχείρει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λέγειν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,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ἵν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α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δὴ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ἐπ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ιτελοίη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ὧν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περ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ἕνεκ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α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ἐκ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αλεῖτο 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ἑκάστοτε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ἐπὶ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τὰ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δεῖ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πνα.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ὡς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δ᾿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οὐκ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ἐκίνησε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γέλωτ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α,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τότε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μὲν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ἀχθεσθεὶς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φα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νερὸς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ἐγένετο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>. α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ὖθις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δ᾿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ὀλίγον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ὕστερον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ἄλλο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τι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γελοῖον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ἐβ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ούλετο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λέγειν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.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ὡς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δὲ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οὐδὲ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τότε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ἐγέλ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>ασαν ἐπ᾿ α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ὐτῷ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, 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ἐν</w:t>
            </w:r>
            <w:proofErr w:type="spellEnd"/>
            <w:r w:rsidRPr="00A76470">
              <w:rPr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τῷ</w:t>
            </w:r>
            <w:proofErr w:type="spellEnd"/>
            <w:r w:rsidRPr="00A76470">
              <w:rPr>
                <w:b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μετ</w:t>
            </w:r>
            <w:proofErr w:type="spellEnd"/>
            <w:r w:rsidRPr="00A76470">
              <w:rPr>
                <w:b/>
                <w:sz w:val="22"/>
                <w:szCs w:val="22"/>
                <w:lang w:val="en-CA"/>
              </w:rPr>
              <w:t>αξὺ</w:t>
            </w:r>
            <w:r w:rsidRPr="00C919AE">
              <w:rPr>
                <w:sz w:val="22"/>
                <w:szCs w:val="22"/>
                <w:lang w:val="en-CA"/>
              </w:rPr>
              <w:t xml:space="preserve"> πα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υσάμενος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τοῦ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δεί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πνου </w:t>
            </w:r>
            <w:proofErr w:type="spellStart"/>
            <w:r w:rsidRPr="00C919AE">
              <w:rPr>
                <w:sz w:val="22"/>
                <w:szCs w:val="22"/>
                <w:lang w:val="en-CA"/>
              </w:rPr>
              <w:t>συγκ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 xml:space="preserve">αλυψάμενος </w:t>
            </w:r>
            <w:r w:rsidRPr="00A76470">
              <w:rPr>
                <w:b/>
                <w:sz w:val="22"/>
                <w:szCs w:val="22"/>
                <w:lang w:val="en-CA"/>
              </w:rPr>
              <w:t>κα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τέκειτο</w:t>
            </w:r>
            <w:proofErr w:type="spellEnd"/>
            <w:r w:rsidRPr="00C919AE">
              <w:rPr>
                <w:sz w:val="22"/>
                <w:szCs w:val="22"/>
                <w:lang w:val="en-CA"/>
              </w:rPr>
              <w:t>.</w:t>
            </w:r>
          </w:p>
        </w:tc>
      </w:tr>
    </w:tbl>
    <w:p w14:paraId="68107D55" w14:textId="16112125" w:rsidR="00FD3559" w:rsidRPr="00C919AE" w:rsidRDefault="00FD3559" w:rsidP="00C25B9E">
      <w:pPr>
        <w:spacing w:after="120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919AE" w:rsidRPr="00C76F7D" w14:paraId="39EFF36D" w14:textId="77777777" w:rsidTr="00745127">
        <w:trPr>
          <w:trHeight w:val="1646"/>
        </w:trPr>
        <w:tc>
          <w:tcPr>
            <w:tcW w:w="9781" w:type="dxa"/>
          </w:tcPr>
          <w:p w14:paraId="58190158" w14:textId="159CE3FD" w:rsidR="00C919AE" w:rsidRDefault="00C919AE" w:rsidP="00C25B9E">
            <w:pPr>
              <w:rPr>
                <w:sz w:val="22"/>
                <w:szCs w:val="22"/>
                <w:lang w:val="en-CA"/>
              </w:rPr>
            </w:pPr>
            <w:r w:rsidRPr="00A76470">
              <w:rPr>
                <w:b/>
                <w:sz w:val="22"/>
                <w:szCs w:val="22"/>
                <w:lang w:val="en-CA"/>
              </w:rPr>
              <w:t>As they engaged in their dinner</w:t>
            </w:r>
            <w:r w:rsidRPr="00C919AE">
              <w:rPr>
                <w:sz w:val="22"/>
                <w:szCs w:val="22"/>
                <w:lang w:val="en-CA"/>
              </w:rPr>
              <w:t xml:space="preserve">, Philip tried making a joke, </w:t>
            </w:r>
            <w:proofErr w:type="gramStart"/>
            <w:r w:rsidRPr="00C919AE">
              <w:rPr>
                <w:sz w:val="22"/>
                <w:szCs w:val="22"/>
                <w:lang w:val="en-CA"/>
              </w:rPr>
              <w:t>so as to</w:t>
            </w:r>
            <w:proofErr w:type="gramEnd"/>
            <w:r w:rsidRPr="00C919AE">
              <w:rPr>
                <w:sz w:val="22"/>
                <w:szCs w:val="22"/>
                <w:lang w:val="en-CA"/>
              </w:rPr>
              <w:t xml:space="preserve"> render the service that secured him a dinner engagement </w:t>
            </w:r>
            <w:r w:rsidRPr="00A76470">
              <w:rPr>
                <w:b/>
                <w:sz w:val="22"/>
                <w:szCs w:val="22"/>
                <w:lang w:val="en-CA"/>
              </w:rPr>
              <w:t>every time</w:t>
            </w:r>
            <w:r w:rsidRPr="00C919AE">
              <w:rPr>
                <w:sz w:val="22"/>
                <w:szCs w:val="22"/>
                <w:lang w:val="en-CA"/>
              </w:rPr>
              <w:t xml:space="preserve">; but when he failed to get a laugh he was visibly annoyed. A little later he tried another joke; but when they would not laugh at it this time either, he stopped </w:t>
            </w:r>
            <w:r w:rsidRPr="00A76470">
              <w:rPr>
                <w:b/>
                <w:sz w:val="22"/>
                <w:szCs w:val="22"/>
                <w:lang w:val="en-CA"/>
              </w:rPr>
              <w:t>in the middle</w:t>
            </w:r>
            <w:r w:rsidRPr="00C919AE">
              <w:rPr>
                <w:sz w:val="22"/>
                <w:szCs w:val="22"/>
                <w:lang w:val="en-CA"/>
              </w:rPr>
              <w:t xml:space="preserve"> of his dinner, covered his head with his cloak, and </w:t>
            </w:r>
            <w:r w:rsidRPr="00A76470">
              <w:rPr>
                <w:b/>
                <w:sz w:val="22"/>
                <w:szCs w:val="22"/>
                <w:lang w:val="en-CA"/>
              </w:rPr>
              <w:t>laid down</w:t>
            </w:r>
            <w:r w:rsidRPr="00C919AE">
              <w:rPr>
                <w:sz w:val="22"/>
                <w:szCs w:val="22"/>
                <w:lang w:val="en-CA"/>
              </w:rPr>
              <w:t xml:space="preserve"> on his couch.</w:t>
            </w:r>
          </w:p>
          <w:p w14:paraId="3EE32F36" w14:textId="0E7EF21F" w:rsidR="00C919AE" w:rsidRPr="00C919AE" w:rsidRDefault="00C919AE" w:rsidP="00C25B9E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                                                                                                                                               Xen. </w:t>
            </w:r>
            <w:proofErr w:type="spellStart"/>
            <w:r>
              <w:rPr>
                <w:i/>
                <w:sz w:val="22"/>
                <w:szCs w:val="22"/>
                <w:lang w:val="en-CA"/>
              </w:rPr>
              <w:t>Symp</w:t>
            </w:r>
            <w:proofErr w:type="spellEnd"/>
            <w:r>
              <w:rPr>
                <w:i/>
                <w:sz w:val="22"/>
                <w:szCs w:val="22"/>
                <w:lang w:val="en-CA"/>
              </w:rPr>
              <w:t>.</w:t>
            </w:r>
            <w:r>
              <w:rPr>
                <w:sz w:val="22"/>
                <w:szCs w:val="22"/>
                <w:lang w:val="en-CA"/>
              </w:rPr>
              <w:t xml:space="preserve"> 1.14</w:t>
            </w:r>
          </w:p>
          <w:p w14:paraId="3F795693" w14:textId="33A32A5C" w:rsidR="00C919AE" w:rsidRPr="00C76F7D" w:rsidRDefault="00C919AE" w:rsidP="00C25B9E">
            <w:pPr>
              <w:ind w:left="-90" w:firstLine="90"/>
              <w:jc w:val="both"/>
              <w:rPr>
                <w:sz w:val="22"/>
                <w:szCs w:val="22"/>
              </w:rPr>
            </w:pPr>
          </w:p>
        </w:tc>
      </w:tr>
    </w:tbl>
    <w:p w14:paraId="4A4D6BD8" w14:textId="1CE27DBB" w:rsidR="00B41BCE" w:rsidRPr="00C76F7D" w:rsidRDefault="009E2856" w:rsidP="0049782C">
      <w:pPr>
        <w:spacing w:after="120" w:line="276" w:lineRule="auto"/>
        <w:jc w:val="both"/>
        <w:rPr>
          <w:sz w:val="22"/>
          <w:szCs w:val="22"/>
        </w:rPr>
      </w:pPr>
      <w:r w:rsidRPr="00C76F7D">
        <w:rPr>
          <w:sz w:val="22"/>
          <w:szCs w:val="22"/>
        </w:rPr>
        <w:t>3</w:t>
      </w:r>
      <w:r w:rsidR="00B41BCE" w:rsidRPr="003C6D9F">
        <w:rPr>
          <w:b/>
          <w:sz w:val="22"/>
          <w:szCs w:val="22"/>
        </w:rPr>
        <w:t xml:space="preserve">. </w:t>
      </w:r>
      <w:r w:rsidR="00C32CE5" w:rsidRPr="003C6D9F">
        <w:rPr>
          <w:b/>
          <w:sz w:val="22"/>
          <w:szCs w:val="22"/>
        </w:rPr>
        <w:t xml:space="preserve"> </w:t>
      </w:r>
      <w:r w:rsidR="00497631">
        <w:rPr>
          <w:b/>
          <w:sz w:val="22"/>
          <w:szCs w:val="22"/>
        </w:rPr>
        <w:t>Not Good Enough for Autolycus</w:t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7631" w:rsidRPr="00C76F7D" w14:paraId="21E5287C" w14:textId="77777777" w:rsidTr="00745127">
        <w:trPr>
          <w:trHeight w:val="1567"/>
        </w:trPr>
        <w:tc>
          <w:tcPr>
            <w:tcW w:w="9781" w:type="dxa"/>
          </w:tcPr>
          <w:p w14:paraId="6241764F" w14:textId="3234708F" w:rsidR="00497631" w:rsidRPr="00497631" w:rsidRDefault="00497631" w:rsidP="0049782C">
            <w:pPr>
              <w:rPr>
                <w:sz w:val="22"/>
                <w:szCs w:val="22"/>
                <w:lang w:val="en-CA"/>
              </w:rPr>
            </w:pPr>
            <w:proofErr w:type="spellStart"/>
            <w:r w:rsidRPr="00497631">
              <w:rPr>
                <w:sz w:val="22"/>
                <w:szCs w:val="22"/>
                <w:lang w:val="en-CA"/>
              </w:rPr>
              <w:t>Εὐθὺς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μὲν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οὖν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ἐννοήσ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ας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τις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> 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τὰ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γιγνόμεν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ἡγήσ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ατ᾿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ἂν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φύσει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βα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σιλικόν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τι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τὸ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κάλλος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εἶν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αι,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ἄλλως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τε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καὶ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ἢν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μετ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᾿ </w:t>
            </w:r>
            <w:r w:rsidRPr="00A76470">
              <w:rPr>
                <w:b/>
                <w:sz w:val="22"/>
                <w:szCs w:val="22"/>
                <w:lang w:val="en-CA"/>
              </w:rPr>
              <w:t>α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ἰδοῦς</w:t>
            </w:r>
            <w:proofErr w:type="spellEnd"/>
            <w:r w:rsidRPr="00A76470">
              <w:rPr>
                <w:b/>
                <w:sz w:val="22"/>
                <w:szCs w:val="22"/>
                <w:lang w:val="en-CA"/>
              </w:rPr>
              <w:t xml:space="preserve"> καὶ </w:t>
            </w:r>
            <w:proofErr w:type="spellStart"/>
            <w:r w:rsidRPr="00A76470">
              <w:rPr>
                <w:b/>
                <w:sz w:val="22"/>
                <w:szCs w:val="22"/>
                <w:lang w:val="en-CA"/>
              </w:rPr>
              <w:t>σωφροσύνης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κα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θά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περ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Αὐτόλυκος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τότε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κεκτῆτ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αί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τις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α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ὐτό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>. π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ρῶτον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μὲν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γὰρ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ὥσ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περ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ὅτ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αν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φέγγος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τι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ἐν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νυκτὶ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φα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νῇ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>, π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άντων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π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ροσάγετ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αι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τὰ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ὄμμ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ατα,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οὕτω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καὶ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τότε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τοῦ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Αὐτολύκου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τὸ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κάλλος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π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άντων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εἷλκε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τὰς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ὄψεις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π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ρὸς</w:t>
            </w:r>
            <w:proofErr w:type="spellEnd"/>
            <w:r w:rsidRPr="00497631">
              <w:rPr>
                <w:sz w:val="22"/>
                <w:szCs w:val="22"/>
                <w:lang w:val="en-CA"/>
              </w:rPr>
              <w:t xml:space="preserve"> α</w:t>
            </w:r>
            <w:proofErr w:type="spellStart"/>
            <w:r w:rsidRPr="00497631">
              <w:rPr>
                <w:sz w:val="22"/>
                <w:szCs w:val="22"/>
                <w:lang w:val="en-CA"/>
              </w:rPr>
              <w:t>ὐτόν</w:t>
            </w:r>
            <w:proofErr w:type="spellEnd"/>
            <w:r w:rsidR="0049782C">
              <w:rPr>
                <w:sz w:val="22"/>
                <w:szCs w:val="22"/>
                <w:lang w:val="en-CA"/>
              </w:rPr>
              <w:t>.</w:t>
            </w:r>
          </w:p>
        </w:tc>
      </w:tr>
    </w:tbl>
    <w:p w14:paraId="3BB7611C" w14:textId="17BC6CA1" w:rsidR="00976599" w:rsidRPr="00745127" w:rsidRDefault="00745127" w:rsidP="0049782C">
      <w:pPr>
        <w:rPr>
          <w:sz w:val="22"/>
          <w:szCs w:val="22"/>
          <w:lang w:val="en-CA"/>
        </w:rPr>
      </w:pPr>
      <w:r w:rsidRPr="00745127">
        <w:rPr>
          <w:sz w:val="22"/>
          <w:szCs w:val="22"/>
          <w:lang w:val="en-CA"/>
        </w:rPr>
        <w:t>A person who took note of what happened would have come at once to the conclusion that beauty (</w:t>
      </w:r>
      <w:proofErr w:type="spellStart"/>
      <w:r w:rsidRPr="0049782C">
        <w:rPr>
          <w:i/>
          <w:sz w:val="22"/>
          <w:szCs w:val="22"/>
          <w:lang w:val="en-CA"/>
        </w:rPr>
        <w:t>kallos</w:t>
      </w:r>
      <w:proofErr w:type="spellEnd"/>
      <w:r w:rsidRPr="00745127">
        <w:rPr>
          <w:sz w:val="22"/>
          <w:szCs w:val="22"/>
          <w:lang w:val="en-CA"/>
        </w:rPr>
        <w:t xml:space="preserve">) is something naturally regal, especially when, as in the present case of Autolycus, its possessor joins with </w:t>
      </w:r>
      <w:proofErr w:type="gramStart"/>
      <w:r w:rsidRPr="00745127">
        <w:rPr>
          <w:sz w:val="22"/>
          <w:szCs w:val="22"/>
          <w:lang w:val="en-CA"/>
        </w:rPr>
        <w:t>it</w:t>
      </w:r>
      <w:proofErr w:type="gramEnd"/>
      <w:r w:rsidRPr="00745127">
        <w:rPr>
          <w:sz w:val="22"/>
          <w:szCs w:val="22"/>
          <w:lang w:val="en-CA"/>
        </w:rPr>
        <w:t xml:space="preserve"> </w:t>
      </w:r>
      <w:r w:rsidRPr="00A76470">
        <w:rPr>
          <w:b/>
          <w:sz w:val="22"/>
          <w:szCs w:val="22"/>
          <w:lang w:val="en-CA"/>
        </w:rPr>
        <w:t>modesty and self-control</w:t>
      </w:r>
      <w:r w:rsidRPr="00745127">
        <w:rPr>
          <w:sz w:val="22"/>
          <w:szCs w:val="22"/>
          <w:lang w:val="en-CA"/>
        </w:rPr>
        <w:t>. For in the first place, just as the sudden glow of a light at night draws all eyes to itself, so now the beauty of Autolycus compelled everyone to look at him.</w:t>
      </w:r>
    </w:p>
    <w:p w14:paraId="7308EEA9" w14:textId="4D5F51A2" w:rsidR="00EA0C5D" w:rsidRPr="00745127" w:rsidRDefault="00745127" w:rsidP="004978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Xen. </w:t>
      </w:r>
      <w:proofErr w:type="spellStart"/>
      <w:r>
        <w:rPr>
          <w:i/>
          <w:sz w:val="22"/>
          <w:szCs w:val="22"/>
        </w:rPr>
        <w:t>Symp</w:t>
      </w:r>
      <w:proofErr w:type="spellEnd"/>
      <w:r>
        <w:rPr>
          <w:sz w:val="22"/>
          <w:szCs w:val="22"/>
        </w:rPr>
        <w:t>. 1.8-9</w:t>
      </w:r>
    </w:p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45127" w:rsidRPr="00C76F7D" w14:paraId="0B6A2895" w14:textId="77777777" w:rsidTr="0080029F">
        <w:trPr>
          <w:trHeight w:val="709"/>
        </w:trPr>
        <w:tc>
          <w:tcPr>
            <w:tcW w:w="9781" w:type="dxa"/>
          </w:tcPr>
          <w:p w14:paraId="234D83F9" w14:textId="77777777" w:rsidR="00B506A1" w:rsidRDefault="00B506A1" w:rsidP="0049782C">
            <w:pPr>
              <w:rPr>
                <w:sz w:val="22"/>
                <w:szCs w:val="22"/>
                <w:lang w:val="en-CA"/>
              </w:rPr>
            </w:pPr>
          </w:p>
          <w:p w14:paraId="090C6D07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1456A006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437C8AD6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0A401BF6" w14:textId="3F275081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62483329" w14:textId="06DFA4FC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4CC8F90A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5AAACBF8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294CB3E4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3916872E" w14:textId="655FDA75" w:rsidR="00745127" w:rsidRPr="0080029F" w:rsidRDefault="0080029F" w:rsidP="0049782C">
            <w:pPr>
              <w:rPr>
                <w:b/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lastRenderedPageBreak/>
              <w:t xml:space="preserve">4. </w:t>
            </w:r>
            <w:r>
              <w:rPr>
                <w:b/>
                <w:sz w:val="22"/>
                <w:szCs w:val="22"/>
                <w:lang w:val="en-CA"/>
              </w:rPr>
              <w:t>Scene and Silence Broken</w:t>
            </w:r>
          </w:p>
        </w:tc>
      </w:tr>
      <w:tr w:rsidR="0080029F" w:rsidRPr="00C76F7D" w14:paraId="0DCBBE31" w14:textId="77777777" w:rsidTr="00B506A1">
        <w:trPr>
          <w:trHeight w:val="709"/>
        </w:trPr>
        <w:tc>
          <w:tcPr>
            <w:tcW w:w="9781" w:type="dxa"/>
          </w:tcPr>
          <w:p w14:paraId="183A4091" w14:textId="5B2625C1" w:rsidR="0080029F" w:rsidRPr="00745127" w:rsidRDefault="0080029F" w:rsidP="0049782C">
            <w:pPr>
              <w:rPr>
                <w:sz w:val="22"/>
                <w:szCs w:val="22"/>
                <w:lang w:val="en-CA"/>
              </w:rPr>
            </w:pPr>
            <w:proofErr w:type="spellStart"/>
            <w:r w:rsidRPr="00745127">
              <w:rPr>
                <w:sz w:val="22"/>
                <w:szCs w:val="22"/>
                <w:lang w:val="en-CA"/>
              </w:rPr>
              <w:lastRenderedPageBreak/>
              <w:t>ἐκεῖνοι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μὲν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οὖν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σιω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πῇ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ἐδεί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πνουν,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ὥσ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περ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τοῦτο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 ἐπ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ιτετ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>αγμένον α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ὐτοῖς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 ὑπὸ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κρείττονός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τινος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.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Φιλι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>ππος δ</w:t>
            </w:r>
            <w:r>
              <w:rPr>
                <w:sz w:val="22"/>
                <w:szCs w:val="22"/>
                <w:lang w:val="en-CA"/>
              </w:rPr>
              <w:t>’</w:t>
            </w:r>
            <w:r w:rsidRPr="00745127">
              <w:rPr>
                <w:sz w:val="22"/>
                <w:szCs w:val="22"/>
                <w:lang w:val="en-CA"/>
              </w:rPr>
              <w:t xml:space="preserve"> ὁ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γελωτο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ποιὸς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κρούσ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ας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τὴν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745127">
              <w:rPr>
                <w:sz w:val="22"/>
                <w:szCs w:val="22"/>
                <w:lang w:val="en-CA"/>
              </w:rPr>
              <w:t>θύρ</w:t>
            </w:r>
            <w:proofErr w:type="spellEnd"/>
            <w:r w:rsidRPr="00745127">
              <w:rPr>
                <w:sz w:val="22"/>
                <w:szCs w:val="22"/>
                <w:lang w:val="en-CA"/>
              </w:rPr>
              <w:t>αν</w:t>
            </w:r>
            <w:r>
              <w:rPr>
                <w:sz w:val="22"/>
                <w:szCs w:val="22"/>
                <w:lang w:val="en-CA"/>
              </w:rPr>
              <w:t>…</w:t>
            </w:r>
          </w:p>
        </w:tc>
      </w:tr>
      <w:tr w:rsidR="00745127" w:rsidRPr="00C76F7D" w14:paraId="0E1B1F60" w14:textId="77777777" w:rsidTr="0080029F">
        <w:trPr>
          <w:trHeight w:val="1550"/>
        </w:trPr>
        <w:tc>
          <w:tcPr>
            <w:tcW w:w="9781" w:type="dxa"/>
          </w:tcPr>
          <w:p w14:paraId="2CF14B97" w14:textId="115F2F80" w:rsidR="00745127" w:rsidRPr="00745127" w:rsidRDefault="00745127" w:rsidP="0049782C">
            <w:pPr>
              <w:rPr>
                <w:sz w:val="22"/>
                <w:szCs w:val="22"/>
                <w:lang w:val="en-CA"/>
              </w:rPr>
            </w:pPr>
            <w:r w:rsidRPr="00745127">
              <w:rPr>
                <w:sz w:val="22"/>
                <w:szCs w:val="22"/>
                <w:lang w:val="en-CA"/>
              </w:rPr>
              <w:t>The company, then were feasting in silence, as though a</w:t>
            </w:r>
            <w:r>
              <w:rPr>
                <w:sz w:val="22"/>
                <w:szCs w:val="22"/>
                <w:lang w:val="en-CA"/>
              </w:rPr>
              <w:t>t</w:t>
            </w:r>
            <w:r w:rsidRPr="00745127">
              <w:rPr>
                <w:sz w:val="22"/>
                <w:szCs w:val="22"/>
                <w:lang w:val="en-CA"/>
              </w:rPr>
              <w:t xml:space="preserve"> the command of some greater authority, when Philip the comedian knocked at the door…</w:t>
            </w:r>
          </w:p>
          <w:p w14:paraId="24348691" w14:textId="5D4B6BD0" w:rsidR="00745127" w:rsidRPr="00745127" w:rsidRDefault="00745127" w:rsidP="0049782C">
            <w:p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                                                                                                                                        </w:t>
            </w:r>
            <w:r w:rsidR="0080029F">
              <w:rPr>
                <w:sz w:val="22"/>
                <w:szCs w:val="22"/>
                <w:lang w:val="en-CA"/>
              </w:rPr>
              <w:t xml:space="preserve">     </w:t>
            </w:r>
            <w:r>
              <w:rPr>
                <w:sz w:val="22"/>
                <w:szCs w:val="22"/>
                <w:lang w:val="en-CA"/>
              </w:rPr>
              <w:t xml:space="preserve">     Xen. </w:t>
            </w:r>
            <w:proofErr w:type="spellStart"/>
            <w:r>
              <w:rPr>
                <w:i/>
                <w:sz w:val="22"/>
                <w:szCs w:val="22"/>
                <w:lang w:val="en-CA"/>
              </w:rPr>
              <w:t>Symp</w:t>
            </w:r>
            <w:proofErr w:type="spellEnd"/>
            <w:r>
              <w:rPr>
                <w:sz w:val="22"/>
                <w:szCs w:val="22"/>
                <w:lang w:val="en-CA"/>
              </w:rPr>
              <w:t>. 1.11</w:t>
            </w:r>
          </w:p>
        </w:tc>
      </w:tr>
      <w:tr w:rsidR="0049782C" w:rsidRPr="00C76F7D" w14:paraId="2D1DF20E" w14:textId="77777777" w:rsidTr="0080029F">
        <w:trPr>
          <w:trHeight w:val="1550"/>
        </w:trPr>
        <w:tc>
          <w:tcPr>
            <w:tcW w:w="9781" w:type="dxa"/>
          </w:tcPr>
          <w:p w14:paraId="3BC8EF04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5B87CDBE" w14:textId="77777777" w:rsidR="0049782C" w:rsidRDefault="0049782C" w:rsidP="0049782C">
            <w:pPr>
              <w:rPr>
                <w:sz w:val="22"/>
                <w:szCs w:val="22"/>
                <w:lang w:val="en-CA"/>
              </w:rPr>
            </w:pPr>
          </w:p>
          <w:p w14:paraId="331E37DE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4936554B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0CAC52C0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7ADBDAC6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3ACA5A30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1BBC1C57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5575E704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705D448C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5103D6F9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0C547D57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19B4872C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7D6F6140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643487A5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3CC52B36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6AF67FB3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1615B642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76B682D5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16EFF30E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16DC7565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1641C03C" w14:textId="77777777" w:rsidR="00C25B9E" w:rsidRDefault="00C25B9E" w:rsidP="0049782C">
            <w:pPr>
              <w:rPr>
                <w:sz w:val="22"/>
                <w:szCs w:val="22"/>
                <w:lang w:val="en-CA"/>
              </w:rPr>
            </w:pPr>
          </w:p>
          <w:p w14:paraId="02485CD4" w14:textId="0295A872" w:rsidR="00C25B9E" w:rsidRPr="00745127" w:rsidRDefault="00C25B9E" w:rsidP="0049782C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69B3FB98" w14:textId="3B7D5E18" w:rsidR="00D25939" w:rsidRPr="00C25B9E" w:rsidRDefault="00D25939" w:rsidP="0049782C">
      <w:pPr>
        <w:spacing w:after="120" w:line="276" w:lineRule="auto"/>
        <w:jc w:val="center"/>
        <w:rPr>
          <w:sz w:val="22"/>
          <w:szCs w:val="22"/>
        </w:rPr>
      </w:pPr>
      <w:r w:rsidRPr="00C25B9E">
        <w:rPr>
          <w:sz w:val="22"/>
          <w:szCs w:val="22"/>
        </w:rPr>
        <w:t xml:space="preserve">Select </w:t>
      </w:r>
      <w:r w:rsidR="001161FD" w:rsidRPr="00C25B9E">
        <w:rPr>
          <w:sz w:val="22"/>
          <w:szCs w:val="22"/>
        </w:rPr>
        <w:t>B</w:t>
      </w:r>
      <w:r w:rsidRPr="00C25B9E">
        <w:rPr>
          <w:sz w:val="22"/>
          <w:szCs w:val="22"/>
        </w:rPr>
        <w:t>ibliography</w:t>
      </w:r>
    </w:p>
    <w:p w14:paraId="3486B790" w14:textId="77777777" w:rsidR="00745127" w:rsidRPr="00C25B9E" w:rsidRDefault="00745127" w:rsidP="0049782C">
      <w:pPr>
        <w:spacing w:line="276" w:lineRule="auto"/>
        <w:rPr>
          <w:color w:val="000000"/>
          <w:sz w:val="22"/>
          <w:szCs w:val="22"/>
          <w:lang w:val="en-CA"/>
        </w:rPr>
      </w:pPr>
      <w:r w:rsidRPr="00C25B9E">
        <w:rPr>
          <w:color w:val="000000"/>
          <w:sz w:val="22"/>
          <w:szCs w:val="22"/>
          <w:lang w:val="en-CA"/>
        </w:rPr>
        <w:t xml:space="preserve">Corner, S. 2013a. “The Politics of the Parasite (Part One).” </w:t>
      </w:r>
      <w:r w:rsidRPr="00C25B9E">
        <w:rPr>
          <w:i/>
          <w:iCs/>
          <w:color w:val="000000"/>
          <w:sz w:val="22"/>
          <w:szCs w:val="22"/>
          <w:lang w:val="en-CA"/>
        </w:rPr>
        <w:t>Phoenix</w:t>
      </w:r>
      <w:r w:rsidRPr="00C25B9E">
        <w:rPr>
          <w:color w:val="000000"/>
          <w:sz w:val="22"/>
          <w:szCs w:val="22"/>
          <w:lang w:val="en-CA"/>
        </w:rPr>
        <w:t xml:space="preserve"> 67: 43–80.</w:t>
      </w:r>
    </w:p>
    <w:p w14:paraId="2F3CD43F" w14:textId="77777777" w:rsidR="00745127" w:rsidRPr="00C25B9E" w:rsidRDefault="00745127" w:rsidP="0049782C">
      <w:pPr>
        <w:spacing w:line="276" w:lineRule="auto"/>
        <w:rPr>
          <w:color w:val="000000"/>
          <w:sz w:val="22"/>
          <w:szCs w:val="22"/>
          <w:lang w:val="en-CA"/>
        </w:rPr>
      </w:pPr>
      <w:r w:rsidRPr="00C25B9E">
        <w:rPr>
          <w:color w:val="000000"/>
          <w:sz w:val="22"/>
          <w:szCs w:val="22"/>
          <w:lang w:val="en-CA"/>
        </w:rPr>
        <w:t xml:space="preserve">-------------2013b. “The Politics of the Parasite (Part Two).” </w:t>
      </w:r>
      <w:r w:rsidRPr="00C25B9E">
        <w:rPr>
          <w:i/>
          <w:iCs/>
          <w:color w:val="000000"/>
          <w:sz w:val="22"/>
          <w:szCs w:val="22"/>
          <w:lang w:val="en-CA"/>
        </w:rPr>
        <w:t>Phoenix</w:t>
      </w:r>
      <w:r w:rsidRPr="00C25B9E">
        <w:rPr>
          <w:color w:val="000000"/>
          <w:sz w:val="22"/>
          <w:szCs w:val="22"/>
          <w:lang w:val="en-CA"/>
        </w:rPr>
        <w:t xml:space="preserve"> 67: 223-36.</w:t>
      </w:r>
    </w:p>
    <w:p w14:paraId="1B021480" w14:textId="77777777" w:rsidR="00745127" w:rsidRPr="00C25B9E" w:rsidRDefault="00745127" w:rsidP="0049782C">
      <w:pPr>
        <w:spacing w:line="276" w:lineRule="auto"/>
        <w:rPr>
          <w:i/>
          <w:iCs/>
          <w:color w:val="000000"/>
          <w:sz w:val="22"/>
          <w:szCs w:val="22"/>
          <w:lang w:val="en-CA"/>
        </w:rPr>
      </w:pPr>
      <w:r w:rsidRPr="00C25B9E">
        <w:rPr>
          <w:color w:val="000000"/>
          <w:sz w:val="22"/>
          <w:szCs w:val="22"/>
          <w:lang w:val="en-CA"/>
        </w:rPr>
        <w:t>Fehr, B. 1990. “Entertainers at the</w:t>
      </w:r>
      <w:r w:rsidRPr="00C25B9E">
        <w:rPr>
          <w:i/>
          <w:iCs/>
          <w:color w:val="000000"/>
          <w:sz w:val="22"/>
          <w:szCs w:val="22"/>
          <w:lang w:val="en-CA"/>
        </w:rPr>
        <w:t xml:space="preserve"> Symposion</w:t>
      </w:r>
      <w:r w:rsidRPr="00C25B9E">
        <w:rPr>
          <w:color w:val="000000"/>
          <w:sz w:val="22"/>
          <w:szCs w:val="22"/>
          <w:lang w:val="en-CA"/>
        </w:rPr>
        <w:t xml:space="preserve">: The </w:t>
      </w:r>
      <w:proofErr w:type="spellStart"/>
      <w:r w:rsidRPr="00C25B9E">
        <w:rPr>
          <w:i/>
          <w:iCs/>
          <w:color w:val="000000"/>
          <w:sz w:val="22"/>
          <w:szCs w:val="22"/>
          <w:lang w:val="en-CA"/>
        </w:rPr>
        <w:t>Akletoi</w:t>
      </w:r>
      <w:proofErr w:type="spellEnd"/>
      <w:r w:rsidRPr="00C25B9E">
        <w:rPr>
          <w:i/>
          <w:iCs/>
          <w:color w:val="000000"/>
          <w:sz w:val="22"/>
          <w:szCs w:val="22"/>
          <w:lang w:val="en-CA"/>
        </w:rPr>
        <w:t xml:space="preserve"> </w:t>
      </w:r>
      <w:r w:rsidRPr="00C25B9E">
        <w:rPr>
          <w:color w:val="000000"/>
          <w:sz w:val="22"/>
          <w:szCs w:val="22"/>
          <w:lang w:val="en-CA"/>
        </w:rPr>
        <w:t xml:space="preserve">in the Archaic Period.” In </w:t>
      </w:r>
      <w:proofErr w:type="spellStart"/>
      <w:r w:rsidRPr="00C25B9E">
        <w:rPr>
          <w:color w:val="000000"/>
          <w:sz w:val="22"/>
          <w:szCs w:val="22"/>
          <w:lang w:val="en-CA"/>
        </w:rPr>
        <w:t>Sympotica</w:t>
      </w:r>
      <w:proofErr w:type="spellEnd"/>
      <w:r w:rsidRPr="00C25B9E">
        <w:rPr>
          <w:color w:val="000000"/>
          <w:sz w:val="22"/>
          <w:szCs w:val="22"/>
          <w:lang w:val="en-CA"/>
        </w:rPr>
        <w:t>:</w:t>
      </w:r>
      <w:r w:rsidRPr="00C25B9E">
        <w:rPr>
          <w:i/>
          <w:iCs/>
          <w:color w:val="000000"/>
          <w:sz w:val="22"/>
          <w:szCs w:val="22"/>
          <w:lang w:val="en-CA"/>
        </w:rPr>
        <w:t xml:space="preserve"> A </w:t>
      </w:r>
    </w:p>
    <w:p w14:paraId="4BA752EC" w14:textId="39D93C4E" w:rsidR="00745127" w:rsidRPr="00C25B9E" w:rsidRDefault="00745127" w:rsidP="0049782C">
      <w:pPr>
        <w:spacing w:line="276" w:lineRule="auto"/>
        <w:ind w:firstLine="720"/>
        <w:rPr>
          <w:color w:val="000000"/>
          <w:sz w:val="22"/>
          <w:szCs w:val="22"/>
          <w:lang w:val="en-CA"/>
        </w:rPr>
      </w:pPr>
      <w:r w:rsidRPr="00C25B9E">
        <w:rPr>
          <w:i/>
          <w:iCs/>
          <w:color w:val="000000"/>
          <w:sz w:val="22"/>
          <w:szCs w:val="22"/>
          <w:lang w:val="en-CA"/>
        </w:rPr>
        <w:t xml:space="preserve">Symposium on the </w:t>
      </w:r>
      <w:r w:rsidRPr="00C25B9E">
        <w:rPr>
          <w:color w:val="000000"/>
          <w:sz w:val="22"/>
          <w:szCs w:val="22"/>
          <w:lang w:val="en-CA"/>
        </w:rPr>
        <w:t>Symposion, edited by O. Murray, 185–95. Oxford: Oxford University Press.</w:t>
      </w:r>
    </w:p>
    <w:p w14:paraId="33CB3939" w14:textId="77777777" w:rsidR="0080029F" w:rsidRPr="00C25B9E" w:rsidRDefault="00745127" w:rsidP="0049782C">
      <w:pPr>
        <w:spacing w:line="276" w:lineRule="auto"/>
        <w:rPr>
          <w:color w:val="000000"/>
          <w:sz w:val="22"/>
          <w:szCs w:val="22"/>
          <w:lang w:val="en-CA"/>
        </w:rPr>
      </w:pPr>
      <w:r w:rsidRPr="00C25B9E">
        <w:rPr>
          <w:color w:val="000000"/>
          <w:sz w:val="22"/>
          <w:szCs w:val="22"/>
          <w:lang w:val="en-CA"/>
        </w:rPr>
        <w:t xml:space="preserve">Murray, </w:t>
      </w:r>
      <w:proofErr w:type="spellStart"/>
      <w:r w:rsidRPr="00C25B9E">
        <w:rPr>
          <w:color w:val="000000"/>
          <w:sz w:val="22"/>
          <w:szCs w:val="22"/>
          <w:lang w:val="en-CA"/>
        </w:rPr>
        <w:t>Oswyn</w:t>
      </w:r>
      <w:proofErr w:type="spellEnd"/>
      <w:r w:rsidRPr="00C25B9E">
        <w:rPr>
          <w:color w:val="000000"/>
          <w:sz w:val="22"/>
          <w:szCs w:val="22"/>
          <w:lang w:val="en-CA"/>
        </w:rPr>
        <w:t xml:space="preserve">. 1990. “Sympotic History.” In </w:t>
      </w:r>
      <w:proofErr w:type="spellStart"/>
      <w:r w:rsidRPr="00C25B9E">
        <w:rPr>
          <w:color w:val="000000"/>
          <w:sz w:val="22"/>
          <w:szCs w:val="22"/>
          <w:lang w:val="en-CA"/>
        </w:rPr>
        <w:t>Sympotica</w:t>
      </w:r>
      <w:proofErr w:type="spellEnd"/>
      <w:r w:rsidRPr="00C25B9E">
        <w:rPr>
          <w:color w:val="000000"/>
          <w:sz w:val="22"/>
          <w:szCs w:val="22"/>
          <w:lang w:val="en-CA"/>
        </w:rPr>
        <w:t xml:space="preserve">: </w:t>
      </w:r>
      <w:r w:rsidRPr="00C25B9E">
        <w:rPr>
          <w:i/>
          <w:iCs/>
          <w:color w:val="000000"/>
          <w:sz w:val="22"/>
          <w:szCs w:val="22"/>
          <w:lang w:val="en-CA"/>
        </w:rPr>
        <w:t>A Symposium on the</w:t>
      </w:r>
      <w:r w:rsidRPr="00C25B9E">
        <w:rPr>
          <w:color w:val="000000"/>
          <w:sz w:val="22"/>
          <w:szCs w:val="22"/>
          <w:lang w:val="en-CA"/>
        </w:rPr>
        <w:t xml:space="preserve"> Symposion, edited by O.</w:t>
      </w:r>
    </w:p>
    <w:p w14:paraId="6D24FFFF" w14:textId="5A591E45" w:rsidR="00745127" w:rsidRDefault="00745127" w:rsidP="0049782C">
      <w:pPr>
        <w:spacing w:line="276" w:lineRule="auto"/>
        <w:ind w:firstLine="720"/>
        <w:rPr>
          <w:color w:val="000000"/>
          <w:sz w:val="22"/>
          <w:szCs w:val="22"/>
          <w:lang w:val="en-CA"/>
        </w:rPr>
      </w:pPr>
      <w:r w:rsidRPr="00C25B9E">
        <w:rPr>
          <w:color w:val="000000"/>
          <w:sz w:val="22"/>
          <w:szCs w:val="22"/>
          <w:lang w:val="en-CA"/>
        </w:rPr>
        <w:t>Murray, 3-13. Oxford: Oxford University Press.</w:t>
      </w:r>
    </w:p>
    <w:p w14:paraId="02D19D53" w14:textId="77777777" w:rsidR="00C25B9E" w:rsidRPr="00C25B9E" w:rsidRDefault="00C25B9E" w:rsidP="00C25B9E">
      <w:pPr>
        <w:rPr>
          <w:sz w:val="22"/>
          <w:szCs w:val="22"/>
        </w:rPr>
      </w:pPr>
      <w:r w:rsidRPr="00C25B9E">
        <w:rPr>
          <w:sz w:val="22"/>
          <w:szCs w:val="22"/>
        </w:rPr>
        <w:t xml:space="preserve">Osborne, Robin. 1998. “Sculpted men of Athens: masculinity and power in the field of </w:t>
      </w:r>
    </w:p>
    <w:p w14:paraId="3E8D33E6" w14:textId="77777777" w:rsidR="00C25B9E" w:rsidRPr="00C25B9E" w:rsidRDefault="00C25B9E" w:rsidP="00C25B9E">
      <w:pPr>
        <w:rPr>
          <w:i/>
          <w:sz w:val="22"/>
          <w:szCs w:val="22"/>
        </w:rPr>
      </w:pPr>
      <w:r w:rsidRPr="00C25B9E">
        <w:rPr>
          <w:sz w:val="22"/>
          <w:szCs w:val="22"/>
        </w:rPr>
        <w:tab/>
        <w:t xml:space="preserve">vision.” In </w:t>
      </w:r>
      <w:r w:rsidRPr="00C25B9E">
        <w:rPr>
          <w:i/>
          <w:sz w:val="22"/>
          <w:szCs w:val="22"/>
        </w:rPr>
        <w:t xml:space="preserve">Thinking Men: Masculinity and its Self-Representation in the Classical </w:t>
      </w:r>
    </w:p>
    <w:p w14:paraId="27EB2405" w14:textId="4A0CC19E" w:rsidR="00C25B9E" w:rsidRPr="00C25B9E" w:rsidRDefault="00C25B9E" w:rsidP="00C25B9E">
      <w:pPr>
        <w:spacing w:line="276" w:lineRule="auto"/>
        <w:rPr>
          <w:color w:val="000000"/>
          <w:sz w:val="22"/>
          <w:szCs w:val="22"/>
          <w:lang w:val="en-CA"/>
        </w:rPr>
      </w:pPr>
      <w:r w:rsidRPr="00C25B9E">
        <w:rPr>
          <w:i/>
          <w:sz w:val="22"/>
          <w:szCs w:val="22"/>
        </w:rPr>
        <w:tab/>
        <w:t>Tradition</w:t>
      </w:r>
      <w:r w:rsidRPr="00C25B9E">
        <w:rPr>
          <w:sz w:val="22"/>
          <w:szCs w:val="22"/>
        </w:rPr>
        <w:t>, edited by L. Foxhall &amp; J. Salmon, 23-42. London: Routledge.</w:t>
      </w:r>
    </w:p>
    <w:p w14:paraId="3FA7F3CD" w14:textId="77777777" w:rsidR="00C25B9E" w:rsidRPr="00C25B9E" w:rsidRDefault="00C25B9E" w:rsidP="00C25B9E">
      <w:pPr>
        <w:rPr>
          <w:sz w:val="22"/>
          <w:szCs w:val="22"/>
        </w:rPr>
      </w:pPr>
      <w:r w:rsidRPr="00C25B9E">
        <w:rPr>
          <w:sz w:val="22"/>
          <w:szCs w:val="22"/>
        </w:rPr>
        <w:t xml:space="preserve">Roman. M and A. </w:t>
      </w:r>
      <w:proofErr w:type="spellStart"/>
      <w:r w:rsidRPr="00C25B9E">
        <w:rPr>
          <w:sz w:val="22"/>
          <w:szCs w:val="22"/>
        </w:rPr>
        <w:t>Tomiche</w:t>
      </w:r>
      <w:proofErr w:type="spellEnd"/>
      <w:r w:rsidRPr="00C25B9E">
        <w:rPr>
          <w:sz w:val="22"/>
          <w:szCs w:val="22"/>
        </w:rPr>
        <w:t xml:space="preserve">. 2001. </w:t>
      </w:r>
      <w:r w:rsidRPr="00C25B9E">
        <w:rPr>
          <w:i/>
          <w:sz w:val="22"/>
          <w:szCs w:val="22"/>
        </w:rPr>
        <w:t>Figures du parasite</w:t>
      </w:r>
      <w:r w:rsidRPr="00C25B9E">
        <w:rPr>
          <w:sz w:val="22"/>
          <w:szCs w:val="22"/>
        </w:rPr>
        <w:t xml:space="preserve">. Clermont-Ferrand: Presses </w:t>
      </w:r>
    </w:p>
    <w:p w14:paraId="72DDBCFC" w14:textId="2940DAD0" w:rsidR="00C25B9E" w:rsidRPr="00C25B9E" w:rsidRDefault="00C25B9E" w:rsidP="00C25B9E">
      <w:pPr>
        <w:spacing w:line="276" w:lineRule="auto"/>
        <w:rPr>
          <w:color w:val="000000"/>
          <w:sz w:val="22"/>
          <w:szCs w:val="22"/>
          <w:lang w:val="en-CA"/>
        </w:rPr>
      </w:pPr>
      <w:r w:rsidRPr="00C25B9E">
        <w:rPr>
          <w:sz w:val="22"/>
          <w:szCs w:val="22"/>
        </w:rPr>
        <w:tab/>
      </w:r>
      <w:proofErr w:type="spellStart"/>
      <w:r w:rsidRPr="00C25B9E">
        <w:rPr>
          <w:sz w:val="22"/>
          <w:szCs w:val="22"/>
        </w:rPr>
        <w:t>Universitaires</w:t>
      </w:r>
      <w:proofErr w:type="spellEnd"/>
      <w:r w:rsidRPr="00C25B9E">
        <w:rPr>
          <w:sz w:val="22"/>
          <w:szCs w:val="22"/>
        </w:rPr>
        <w:t xml:space="preserve"> </w:t>
      </w:r>
      <w:proofErr w:type="spellStart"/>
      <w:r w:rsidRPr="00C25B9E">
        <w:rPr>
          <w:sz w:val="22"/>
          <w:szCs w:val="22"/>
        </w:rPr>
        <w:t>Biaise</w:t>
      </w:r>
      <w:proofErr w:type="spellEnd"/>
      <w:r w:rsidRPr="00C25B9E">
        <w:rPr>
          <w:sz w:val="22"/>
          <w:szCs w:val="22"/>
        </w:rPr>
        <w:t xml:space="preserve"> Pascal.</w:t>
      </w:r>
    </w:p>
    <w:p w14:paraId="2F028BC2" w14:textId="77777777" w:rsidR="00C25B9E" w:rsidRPr="00C25B9E" w:rsidRDefault="00C25B9E" w:rsidP="00C25B9E">
      <w:pPr>
        <w:rPr>
          <w:sz w:val="22"/>
          <w:szCs w:val="22"/>
        </w:rPr>
      </w:pPr>
      <w:r w:rsidRPr="00C25B9E">
        <w:rPr>
          <w:sz w:val="22"/>
          <w:szCs w:val="22"/>
        </w:rPr>
        <w:t xml:space="preserve">Thomas, Mark J. 2011. “The Playful and the Serious: A Reading of Xenophon’s </w:t>
      </w:r>
    </w:p>
    <w:p w14:paraId="5BDFAD27" w14:textId="2EB24E5A" w:rsidR="00C25B9E" w:rsidRPr="00C25B9E" w:rsidRDefault="00C25B9E" w:rsidP="00C25B9E">
      <w:pPr>
        <w:rPr>
          <w:sz w:val="22"/>
          <w:szCs w:val="22"/>
        </w:rPr>
      </w:pPr>
      <w:r w:rsidRPr="00C25B9E">
        <w:rPr>
          <w:sz w:val="22"/>
          <w:szCs w:val="22"/>
        </w:rPr>
        <w:tab/>
      </w:r>
      <w:r w:rsidRPr="00C25B9E">
        <w:rPr>
          <w:i/>
          <w:sz w:val="22"/>
          <w:szCs w:val="22"/>
        </w:rPr>
        <w:t>Symposium</w:t>
      </w:r>
      <w:r w:rsidRPr="00C25B9E">
        <w:rPr>
          <w:sz w:val="22"/>
          <w:szCs w:val="22"/>
        </w:rPr>
        <w:t xml:space="preserve">.” </w:t>
      </w:r>
      <w:proofErr w:type="spellStart"/>
      <w:r w:rsidRPr="00C25B9E">
        <w:rPr>
          <w:i/>
          <w:sz w:val="22"/>
          <w:szCs w:val="22"/>
        </w:rPr>
        <w:t>Epoché</w:t>
      </w:r>
      <w:proofErr w:type="spellEnd"/>
      <w:r w:rsidRPr="00C25B9E">
        <w:rPr>
          <w:i/>
          <w:sz w:val="22"/>
          <w:szCs w:val="22"/>
        </w:rPr>
        <w:t xml:space="preserve">: A Journal for the History of Philosophy </w:t>
      </w:r>
      <w:r w:rsidRPr="00C25B9E">
        <w:rPr>
          <w:sz w:val="22"/>
          <w:szCs w:val="22"/>
        </w:rPr>
        <w:t>15.2: 263-278.</w:t>
      </w:r>
    </w:p>
    <w:p w14:paraId="5D45A2A9" w14:textId="77777777" w:rsidR="0080029F" w:rsidRPr="00C25B9E" w:rsidRDefault="00745127" w:rsidP="0049782C">
      <w:pPr>
        <w:spacing w:line="276" w:lineRule="auto"/>
        <w:rPr>
          <w:color w:val="000000"/>
          <w:sz w:val="22"/>
          <w:szCs w:val="22"/>
          <w:lang w:val="en-CA"/>
        </w:rPr>
      </w:pPr>
      <w:proofErr w:type="spellStart"/>
      <w:r w:rsidRPr="00C25B9E">
        <w:rPr>
          <w:color w:val="000000"/>
          <w:sz w:val="22"/>
          <w:szCs w:val="22"/>
          <w:lang w:val="en-CA"/>
        </w:rPr>
        <w:t>Vetta</w:t>
      </w:r>
      <w:proofErr w:type="spellEnd"/>
      <w:r w:rsidRPr="00C25B9E">
        <w:rPr>
          <w:color w:val="000000"/>
          <w:sz w:val="22"/>
          <w:szCs w:val="22"/>
          <w:lang w:val="en-CA"/>
        </w:rPr>
        <w:t xml:space="preserve">, Massimo. 1999. “The Culture of the Symposium.” In </w:t>
      </w:r>
      <w:r w:rsidRPr="00C25B9E">
        <w:rPr>
          <w:i/>
          <w:iCs/>
          <w:color w:val="000000"/>
          <w:sz w:val="22"/>
          <w:szCs w:val="22"/>
          <w:lang w:val="en-CA"/>
        </w:rPr>
        <w:t>Food: A Culinary History</w:t>
      </w:r>
      <w:r w:rsidRPr="00C25B9E">
        <w:rPr>
          <w:color w:val="000000"/>
          <w:sz w:val="22"/>
          <w:szCs w:val="22"/>
          <w:lang w:val="en-CA"/>
        </w:rPr>
        <w:t>,</w:t>
      </w:r>
      <w:r w:rsidR="0080029F" w:rsidRPr="00C25B9E">
        <w:rPr>
          <w:color w:val="000000"/>
          <w:sz w:val="22"/>
          <w:szCs w:val="22"/>
          <w:lang w:val="en-CA"/>
        </w:rPr>
        <w:t xml:space="preserve"> </w:t>
      </w:r>
      <w:r w:rsidRPr="00C25B9E">
        <w:rPr>
          <w:color w:val="000000"/>
          <w:sz w:val="22"/>
          <w:szCs w:val="22"/>
          <w:lang w:val="en-CA"/>
        </w:rPr>
        <w:t>edited by Jean-Louis</w:t>
      </w:r>
    </w:p>
    <w:p w14:paraId="3F7DD8CA" w14:textId="537E141F" w:rsidR="00745127" w:rsidRPr="00C25B9E" w:rsidRDefault="00745127" w:rsidP="0049782C">
      <w:pPr>
        <w:spacing w:line="276" w:lineRule="auto"/>
        <w:ind w:firstLine="720"/>
        <w:rPr>
          <w:color w:val="000000"/>
          <w:sz w:val="22"/>
          <w:szCs w:val="22"/>
          <w:lang w:val="en-CA"/>
        </w:rPr>
      </w:pPr>
      <w:proofErr w:type="spellStart"/>
      <w:r w:rsidRPr="00C25B9E">
        <w:rPr>
          <w:color w:val="000000"/>
          <w:sz w:val="22"/>
          <w:szCs w:val="22"/>
          <w:lang w:val="en-CA"/>
        </w:rPr>
        <w:t>Flandrin</w:t>
      </w:r>
      <w:proofErr w:type="spellEnd"/>
      <w:r w:rsidRPr="00C25B9E">
        <w:rPr>
          <w:color w:val="000000"/>
          <w:sz w:val="22"/>
          <w:szCs w:val="22"/>
          <w:lang w:val="en-CA"/>
        </w:rPr>
        <w:t xml:space="preserve"> and Massimo </w:t>
      </w:r>
      <w:proofErr w:type="spellStart"/>
      <w:r w:rsidRPr="00C25B9E">
        <w:rPr>
          <w:color w:val="000000"/>
          <w:sz w:val="22"/>
          <w:szCs w:val="22"/>
          <w:lang w:val="en-CA"/>
        </w:rPr>
        <w:t>Montanari</w:t>
      </w:r>
      <w:proofErr w:type="spellEnd"/>
      <w:r w:rsidRPr="00C25B9E">
        <w:rPr>
          <w:color w:val="000000"/>
          <w:sz w:val="22"/>
          <w:szCs w:val="22"/>
          <w:lang w:val="en-CA"/>
        </w:rPr>
        <w:t>, 96-105. Penguin.</w:t>
      </w:r>
    </w:p>
    <w:p w14:paraId="0F9B7B04" w14:textId="28E45E0B" w:rsidR="00253E98" w:rsidRDefault="00253E98" w:rsidP="0049782C">
      <w:pPr>
        <w:spacing w:line="276" w:lineRule="auto"/>
        <w:jc w:val="both"/>
        <w:rPr>
          <w:color w:val="000000"/>
          <w:sz w:val="22"/>
          <w:szCs w:val="22"/>
        </w:rPr>
      </w:pPr>
    </w:p>
    <w:p w14:paraId="5BF8A42F" w14:textId="4B9CC762" w:rsidR="00B506A1" w:rsidRDefault="00B506A1" w:rsidP="0049782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Text:</w:t>
      </w:r>
      <w:r w:rsidR="0049782C">
        <w:rPr>
          <w:color w:val="000000"/>
          <w:sz w:val="22"/>
          <w:szCs w:val="22"/>
        </w:rPr>
        <w:t xml:space="preserve"> Marchant 1921</w:t>
      </w:r>
    </w:p>
    <w:p w14:paraId="45E18BDD" w14:textId="4FB9576E" w:rsidR="00B506A1" w:rsidRPr="00253E98" w:rsidRDefault="00B506A1" w:rsidP="0049782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Translation: All translations are my own</w:t>
      </w:r>
    </w:p>
    <w:sectPr w:rsidR="00B506A1" w:rsidRPr="00253E98" w:rsidSect="00523427">
      <w:headerReference w:type="first" r:id="rId7"/>
      <w:pgSz w:w="12240" w:h="15840"/>
      <w:pgMar w:top="576" w:right="1440" w:bottom="864" w:left="122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19907" w14:textId="77777777" w:rsidR="00794B57" w:rsidRDefault="00794B57" w:rsidP="0057064A">
      <w:r>
        <w:separator/>
      </w:r>
    </w:p>
  </w:endnote>
  <w:endnote w:type="continuationSeparator" w:id="0">
    <w:p w14:paraId="70323AD3" w14:textId="77777777" w:rsidR="00794B57" w:rsidRDefault="00794B57" w:rsidP="0057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DF242" w14:textId="77777777" w:rsidR="00794B57" w:rsidRDefault="00794B57" w:rsidP="0057064A">
      <w:r>
        <w:separator/>
      </w:r>
    </w:p>
  </w:footnote>
  <w:footnote w:type="continuationSeparator" w:id="0">
    <w:p w14:paraId="7A28BF48" w14:textId="77777777" w:rsidR="00794B57" w:rsidRDefault="00794B57" w:rsidP="00570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4662" w14:textId="21265C88" w:rsidR="00A76470" w:rsidRPr="002F54E4" w:rsidRDefault="00A76470" w:rsidP="002F54E4">
    <w:pPr>
      <w:pStyle w:val="Header"/>
      <w:tabs>
        <w:tab w:val="clear" w:pos="4320"/>
        <w:tab w:val="clear" w:pos="8640"/>
      </w:tabs>
      <w:jc w:val="both"/>
      <w:rPr>
        <w:sz w:val="20"/>
        <w:szCs w:val="20"/>
      </w:rPr>
    </w:pPr>
    <w:r>
      <w:rPr>
        <w:sz w:val="20"/>
        <w:szCs w:val="20"/>
      </w:rPr>
      <w:t>CAMWS Annual Meeting 2019</w:t>
    </w:r>
    <w:r>
      <w:rPr>
        <w:sz w:val="20"/>
        <w:szCs w:val="20"/>
      </w:rPr>
      <w:tab/>
      <w:t xml:space="preserve">   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April 4, 2019</w:t>
    </w:r>
    <w:r w:rsidRPr="002F54E4">
      <w:rPr>
        <w:sz w:val="20"/>
        <w:szCs w:val="20"/>
      </w:rPr>
      <w:t xml:space="preserve"> </w:t>
    </w:r>
  </w:p>
  <w:p w14:paraId="55E9A1A8" w14:textId="3A5248BC" w:rsidR="00A76470" w:rsidRPr="002F54E4" w:rsidRDefault="00A76470" w:rsidP="002F54E4">
    <w:pPr>
      <w:pStyle w:val="Header"/>
      <w:tabs>
        <w:tab w:val="clear" w:pos="4320"/>
        <w:tab w:val="clear" w:pos="8640"/>
      </w:tabs>
      <w:jc w:val="both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>
      <w:rPr>
        <w:sz w:val="22"/>
        <w:szCs w:val="22"/>
      </w:rPr>
      <w:t xml:space="preserve"> </w:t>
    </w: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8F3"/>
    <w:multiLevelType w:val="hybridMultilevel"/>
    <w:tmpl w:val="671E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E6F45"/>
    <w:multiLevelType w:val="hybridMultilevel"/>
    <w:tmpl w:val="046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9D"/>
    <w:rsid w:val="000475B8"/>
    <w:rsid w:val="000665F7"/>
    <w:rsid w:val="000954A8"/>
    <w:rsid w:val="000B4911"/>
    <w:rsid w:val="000E0D46"/>
    <w:rsid w:val="00116006"/>
    <w:rsid w:val="001161FD"/>
    <w:rsid w:val="00132EB6"/>
    <w:rsid w:val="00155D5F"/>
    <w:rsid w:val="001776EC"/>
    <w:rsid w:val="00184EFA"/>
    <w:rsid w:val="00197B5D"/>
    <w:rsid w:val="001B0E8A"/>
    <w:rsid w:val="001D70BD"/>
    <w:rsid w:val="002070C2"/>
    <w:rsid w:val="00253E98"/>
    <w:rsid w:val="00283BF0"/>
    <w:rsid w:val="002A78E8"/>
    <w:rsid w:val="002F54E4"/>
    <w:rsid w:val="0032204D"/>
    <w:rsid w:val="003229CC"/>
    <w:rsid w:val="0034284A"/>
    <w:rsid w:val="00357167"/>
    <w:rsid w:val="00380961"/>
    <w:rsid w:val="003A34E7"/>
    <w:rsid w:val="003C6D9F"/>
    <w:rsid w:val="003D00EE"/>
    <w:rsid w:val="00431FF4"/>
    <w:rsid w:val="00446894"/>
    <w:rsid w:val="00461418"/>
    <w:rsid w:val="00497631"/>
    <w:rsid w:val="0049782C"/>
    <w:rsid w:val="004D079D"/>
    <w:rsid w:val="00523427"/>
    <w:rsid w:val="0057064A"/>
    <w:rsid w:val="005807B4"/>
    <w:rsid w:val="005A6589"/>
    <w:rsid w:val="005B5906"/>
    <w:rsid w:val="00623AB1"/>
    <w:rsid w:val="00671AAC"/>
    <w:rsid w:val="006B375B"/>
    <w:rsid w:val="006B46D8"/>
    <w:rsid w:val="006D1D3C"/>
    <w:rsid w:val="006E1C85"/>
    <w:rsid w:val="007114C7"/>
    <w:rsid w:val="00745127"/>
    <w:rsid w:val="00781755"/>
    <w:rsid w:val="00782CCB"/>
    <w:rsid w:val="00794B57"/>
    <w:rsid w:val="0079714D"/>
    <w:rsid w:val="007B5A16"/>
    <w:rsid w:val="007D3936"/>
    <w:rsid w:val="0080029F"/>
    <w:rsid w:val="00862B18"/>
    <w:rsid w:val="00872ADF"/>
    <w:rsid w:val="0094049E"/>
    <w:rsid w:val="00976599"/>
    <w:rsid w:val="009E2856"/>
    <w:rsid w:val="009E74E7"/>
    <w:rsid w:val="00A41027"/>
    <w:rsid w:val="00A42EFC"/>
    <w:rsid w:val="00A6337D"/>
    <w:rsid w:val="00A76470"/>
    <w:rsid w:val="00A95494"/>
    <w:rsid w:val="00AA2FE6"/>
    <w:rsid w:val="00AB110D"/>
    <w:rsid w:val="00AB7421"/>
    <w:rsid w:val="00AC1481"/>
    <w:rsid w:val="00AC1F6F"/>
    <w:rsid w:val="00AE03F7"/>
    <w:rsid w:val="00B41BCE"/>
    <w:rsid w:val="00B43B94"/>
    <w:rsid w:val="00B506A1"/>
    <w:rsid w:val="00B639DF"/>
    <w:rsid w:val="00B6442E"/>
    <w:rsid w:val="00B842D1"/>
    <w:rsid w:val="00B853B7"/>
    <w:rsid w:val="00C0096E"/>
    <w:rsid w:val="00C25B9E"/>
    <w:rsid w:val="00C30C0B"/>
    <w:rsid w:val="00C32CE5"/>
    <w:rsid w:val="00C52D93"/>
    <w:rsid w:val="00C60C07"/>
    <w:rsid w:val="00C76F7D"/>
    <w:rsid w:val="00C919AE"/>
    <w:rsid w:val="00CC433B"/>
    <w:rsid w:val="00CC6C2A"/>
    <w:rsid w:val="00CD0C49"/>
    <w:rsid w:val="00CE2D83"/>
    <w:rsid w:val="00D25939"/>
    <w:rsid w:val="00D64D41"/>
    <w:rsid w:val="00D8754F"/>
    <w:rsid w:val="00D97B42"/>
    <w:rsid w:val="00DA4984"/>
    <w:rsid w:val="00DF0B5B"/>
    <w:rsid w:val="00DF6303"/>
    <w:rsid w:val="00E06C75"/>
    <w:rsid w:val="00E300B5"/>
    <w:rsid w:val="00E30B27"/>
    <w:rsid w:val="00E41AD5"/>
    <w:rsid w:val="00E51DEB"/>
    <w:rsid w:val="00E725D6"/>
    <w:rsid w:val="00E95422"/>
    <w:rsid w:val="00EA0C5D"/>
    <w:rsid w:val="00EA192E"/>
    <w:rsid w:val="00F34E4C"/>
    <w:rsid w:val="00F4569A"/>
    <w:rsid w:val="00F67927"/>
    <w:rsid w:val="00FA5DB7"/>
    <w:rsid w:val="00FD3559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218A82"/>
  <w14:defaultImageDpi w14:val="300"/>
  <w15:docId w15:val="{0558796F-A919-46A3-B926-22851BC8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7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79D"/>
    <w:pPr>
      <w:ind w:left="720"/>
      <w:contextualSpacing/>
    </w:pPr>
  </w:style>
  <w:style w:type="table" w:styleId="TableGrid">
    <w:name w:val="Table Grid"/>
    <w:basedOn w:val="TableNormal"/>
    <w:uiPriority w:val="59"/>
    <w:rsid w:val="004D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6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6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6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64A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23427"/>
  </w:style>
  <w:style w:type="character" w:customStyle="1" w:styleId="FootnoteTextChar">
    <w:name w:val="Footnote Text Char"/>
    <w:basedOn w:val="DefaultParagraphFont"/>
    <w:link w:val="FootnoteText"/>
    <w:uiPriority w:val="99"/>
    <w:rsid w:val="00523427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2342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45127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Dolansky</dc:creator>
  <cp:keywords/>
  <dc:description/>
  <cp:lastModifiedBy>Rick Castle</cp:lastModifiedBy>
  <cp:revision>5</cp:revision>
  <dcterms:created xsi:type="dcterms:W3CDTF">2019-03-29T18:41:00Z</dcterms:created>
  <dcterms:modified xsi:type="dcterms:W3CDTF">2019-03-29T19:36:00Z</dcterms:modified>
</cp:coreProperties>
</file>