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765" w:rsidRDefault="00863621" w:rsidP="007817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Anti-Exemplarity of Sallust’s Metellus </w:t>
      </w:r>
      <w:proofErr w:type="spellStart"/>
      <w:r>
        <w:rPr>
          <w:rFonts w:ascii="Times New Roman" w:hAnsi="Times New Roman" w:cs="Times New Roman"/>
          <w:b/>
          <w:sz w:val="24"/>
          <w:szCs w:val="24"/>
        </w:rPr>
        <w:t>Numidicus</w:t>
      </w:r>
      <w:proofErr w:type="spellEnd"/>
      <w:r w:rsidR="00776E24" w:rsidRPr="00776E24">
        <w:rPr>
          <w:rStyle w:val="FootnoteReference"/>
          <w:rFonts w:ascii="Times New Roman" w:hAnsi="Times New Roman" w:cs="Times New Roman"/>
          <w:b/>
          <w:sz w:val="24"/>
          <w:szCs w:val="24"/>
        </w:rPr>
        <w:footnoteReference w:id="1"/>
      </w:r>
    </w:p>
    <w:p w:rsidR="00781765" w:rsidRDefault="00781765" w:rsidP="00781765">
      <w:pPr>
        <w:spacing w:after="0" w:line="240" w:lineRule="auto"/>
        <w:jc w:val="center"/>
        <w:rPr>
          <w:rFonts w:ascii="Times New Roman" w:hAnsi="Times New Roman" w:cs="Times New Roman"/>
          <w:sz w:val="24"/>
          <w:szCs w:val="24"/>
          <w:lang w:val="it-IT"/>
        </w:rPr>
      </w:pPr>
      <w:r w:rsidRPr="00781765">
        <w:rPr>
          <w:rFonts w:ascii="Times New Roman" w:hAnsi="Times New Roman" w:cs="Times New Roman"/>
          <w:sz w:val="24"/>
          <w:szCs w:val="24"/>
          <w:lang w:val="it-IT"/>
        </w:rPr>
        <w:t>Michael S. Vasta</w:t>
      </w:r>
      <w:r w:rsidR="00863621" w:rsidRPr="00781765">
        <w:rPr>
          <w:rFonts w:ascii="Times New Roman" w:hAnsi="Times New Roman" w:cs="Times New Roman"/>
          <w:sz w:val="24"/>
          <w:szCs w:val="24"/>
          <w:lang w:val="it-IT"/>
        </w:rPr>
        <w:t xml:space="preserve"> </w:t>
      </w:r>
      <w:r w:rsidRPr="00781765">
        <w:rPr>
          <w:rFonts w:ascii="Times New Roman" w:hAnsi="Times New Roman" w:cs="Times New Roman"/>
          <w:sz w:val="24"/>
          <w:szCs w:val="24"/>
          <w:lang w:val="it-IT"/>
        </w:rPr>
        <w:t>(</w:t>
      </w:r>
      <w:r>
        <w:rPr>
          <w:rFonts w:ascii="Times New Roman" w:hAnsi="Times New Roman" w:cs="Times New Roman"/>
          <w:sz w:val="24"/>
          <w:szCs w:val="24"/>
          <w:lang w:val="it-IT"/>
        </w:rPr>
        <w:t>m</w:t>
      </w:r>
      <w:r w:rsidR="002B26CB">
        <w:rPr>
          <w:rFonts w:ascii="Times New Roman" w:hAnsi="Times New Roman" w:cs="Times New Roman"/>
          <w:sz w:val="24"/>
          <w:szCs w:val="24"/>
          <w:lang w:val="it-IT"/>
        </w:rPr>
        <w:t>vasta@gmail.com</w:t>
      </w:r>
      <w:r>
        <w:rPr>
          <w:rFonts w:ascii="Times New Roman" w:hAnsi="Times New Roman" w:cs="Times New Roman"/>
          <w:sz w:val="24"/>
          <w:szCs w:val="24"/>
          <w:lang w:val="it-IT"/>
        </w:rPr>
        <w:t>)</w:t>
      </w:r>
    </w:p>
    <w:p w:rsidR="00781765" w:rsidRDefault="00781765" w:rsidP="00F74EEE">
      <w:pPr>
        <w:spacing w:after="0" w:line="240" w:lineRule="auto"/>
        <w:rPr>
          <w:rFonts w:ascii="Times New Roman" w:hAnsi="Times New Roman" w:cs="Times New Roman"/>
          <w:sz w:val="24"/>
          <w:szCs w:val="24"/>
          <w:lang w:val="it-IT"/>
        </w:rPr>
      </w:pPr>
    </w:p>
    <w:p w:rsidR="00C24CD2" w:rsidRDefault="00C24CD2" w:rsidP="00F74EEE">
      <w:pPr>
        <w:spacing w:after="0" w:line="240" w:lineRule="auto"/>
        <w:rPr>
          <w:rFonts w:ascii="Times New Roman" w:hAnsi="Times New Roman" w:cs="Times New Roman"/>
          <w:sz w:val="24"/>
          <w:szCs w:val="24"/>
          <w:lang w:val="it-IT"/>
        </w:rPr>
      </w:pPr>
      <w:r>
        <w:rPr>
          <w:rFonts w:ascii="Times New Roman" w:hAnsi="Times New Roman" w:cs="Times New Roman"/>
          <w:i/>
          <w:sz w:val="24"/>
          <w:szCs w:val="24"/>
          <w:lang w:val="it-IT"/>
        </w:rPr>
        <w:t>Anti-Exemplum</w:t>
      </w:r>
    </w:p>
    <w:p w:rsidR="00C24CD2" w:rsidRPr="00C24CD2" w:rsidRDefault="00C24CD2" w:rsidP="00C24CD2">
      <w:pPr>
        <w:pStyle w:val="ListParagraph"/>
        <w:numPr>
          <w:ilvl w:val="0"/>
          <w:numId w:val="4"/>
        </w:numPr>
        <w:spacing w:after="0" w:line="240" w:lineRule="auto"/>
        <w:rPr>
          <w:rFonts w:ascii="Times New Roman" w:hAnsi="Times New Roman" w:cs="Times New Roman"/>
          <w:i/>
          <w:sz w:val="24"/>
          <w:szCs w:val="24"/>
        </w:rPr>
      </w:pPr>
      <w:r w:rsidRPr="00C24CD2">
        <w:rPr>
          <w:rFonts w:ascii="Times New Roman" w:hAnsi="Times New Roman" w:cs="Times New Roman"/>
          <w:sz w:val="24"/>
          <w:szCs w:val="24"/>
        </w:rPr>
        <w:t>S</w:t>
      </w:r>
      <w:r w:rsidRPr="00C24CD2">
        <w:rPr>
          <w:rFonts w:ascii="Times New Roman" w:hAnsi="Times New Roman" w:cs="Times New Roman"/>
          <w:sz w:val="24"/>
          <w:szCs w:val="24"/>
        </w:rPr>
        <w:t xml:space="preserve">o ambiguous in intent and outcome that the reader cannot clearly determine whether a character should be a positive or negative </w:t>
      </w:r>
      <w:r w:rsidRPr="00C24CD2">
        <w:rPr>
          <w:rFonts w:ascii="Times New Roman" w:hAnsi="Times New Roman" w:cs="Times New Roman"/>
          <w:i/>
          <w:sz w:val="24"/>
          <w:szCs w:val="24"/>
        </w:rPr>
        <w:t>exemplum</w:t>
      </w:r>
      <w:r w:rsidRPr="00C24CD2">
        <w:rPr>
          <w:rFonts w:ascii="Times New Roman" w:hAnsi="Times New Roman" w:cs="Times New Roman"/>
          <w:i/>
          <w:sz w:val="24"/>
          <w:szCs w:val="24"/>
        </w:rPr>
        <w:t>.</w:t>
      </w:r>
    </w:p>
    <w:p w:rsidR="00C24CD2" w:rsidRPr="00C24CD2" w:rsidRDefault="00C24CD2" w:rsidP="00C24CD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34234F">
        <w:rPr>
          <w:rFonts w:ascii="Times New Roman" w:hAnsi="Times New Roman" w:cs="Times New Roman"/>
          <w:sz w:val="24"/>
          <w:szCs w:val="24"/>
        </w:rPr>
        <w:t>o strongly individualized and resistant of typification that it cannot be extracted and generalized for exemplary usage</w:t>
      </w:r>
      <w:r>
        <w:rPr>
          <w:rFonts w:ascii="Times New Roman" w:hAnsi="Times New Roman" w:cs="Times New Roman"/>
          <w:sz w:val="24"/>
          <w:szCs w:val="24"/>
        </w:rPr>
        <w:t>.</w:t>
      </w:r>
    </w:p>
    <w:p w:rsidR="00C24CD2" w:rsidRPr="00DE2782" w:rsidRDefault="00C24CD2" w:rsidP="00F74EEE">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81765" w:rsidRPr="00DE2782" w:rsidTr="00962A2B">
        <w:tc>
          <w:tcPr>
            <w:tcW w:w="4675" w:type="dxa"/>
          </w:tcPr>
          <w:p w:rsidR="00781765" w:rsidRPr="00DE2782" w:rsidRDefault="00C24CD2" w:rsidP="00F74EEE">
            <w:pPr>
              <w:pStyle w:val="ListParagraph"/>
              <w:numPr>
                <w:ilvl w:val="0"/>
                <w:numId w:val="3"/>
              </w:numPr>
              <w:ind w:left="247"/>
              <w:rPr>
                <w:rFonts w:ascii="Times New Roman" w:hAnsi="Times New Roman" w:cs="Times New Roman"/>
                <w:lang w:val="it-IT"/>
              </w:rPr>
            </w:pPr>
            <w:r w:rsidRPr="00DE2782">
              <w:rPr>
                <w:rFonts w:ascii="Times New Roman" w:hAnsi="Times New Roman" w:cs="Times New Roman"/>
                <w:i/>
                <w:lang w:val="it-IT"/>
              </w:rPr>
              <w:t xml:space="preserve">Jug. </w:t>
            </w:r>
            <w:r w:rsidRPr="00DE2782">
              <w:rPr>
                <w:rFonts w:ascii="Times New Roman" w:hAnsi="Times New Roman" w:cs="Times New Roman"/>
                <w:lang w:val="it-IT"/>
              </w:rPr>
              <w:t>4.5-6</w:t>
            </w:r>
          </w:p>
        </w:tc>
        <w:tc>
          <w:tcPr>
            <w:tcW w:w="4675" w:type="dxa"/>
          </w:tcPr>
          <w:p w:rsidR="00781765" w:rsidRPr="00DE2782" w:rsidRDefault="00781765" w:rsidP="00781765">
            <w:pPr>
              <w:rPr>
                <w:rFonts w:ascii="Times New Roman" w:hAnsi="Times New Roman" w:cs="Times New Roman"/>
              </w:rPr>
            </w:pPr>
          </w:p>
        </w:tc>
      </w:tr>
      <w:tr w:rsidR="00F74EEE" w:rsidRPr="00DE2782" w:rsidTr="00962A2B">
        <w:tc>
          <w:tcPr>
            <w:tcW w:w="4675" w:type="dxa"/>
          </w:tcPr>
          <w:p w:rsidR="00F74EEE" w:rsidRPr="00DE2782" w:rsidRDefault="003C1228" w:rsidP="00F74EEE">
            <w:pPr>
              <w:rPr>
                <w:rFonts w:ascii="Times New Roman" w:hAnsi="Times New Roman" w:cs="Times New Roman"/>
                <w:i/>
                <w:lang w:val="la-Latn"/>
              </w:rPr>
            </w:pPr>
            <w:proofErr w:type="gramStart"/>
            <w:r>
              <w:rPr>
                <w:rFonts w:ascii="Times New Roman" w:hAnsi="Times New Roman" w:cs="Times New Roman"/>
              </w:rPr>
              <w:t>n</w:t>
            </w:r>
            <w:r w:rsidR="00C24CD2" w:rsidRPr="00DE2782">
              <w:rPr>
                <w:rFonts w:ascii="Times New Roman" w:hAnsi="Times New Roman" w:cs="Times New Roman"/>
                <w:lang w:val="la-Latn"/>
              </w:rPr>
              <w:t>am</w:t>
            </w:r>
            <w:proofErr w:type="gramEnd"/>
            <w:r w:rsidR="00C24CD2" w:rsidRPr="00DE2782">
              <w:rPr>
                <w:rFonts w:ascii="Times New Roman" w:hAnsi="Times New Roman" w:cs="Times New Roman"/>
                <w:lang w:val="la-Latn"/>
              </w:rPr>
              <w:t xml:space="preserve"> saepe ego audiui Q. Maximum, P. Scipionem, &lt;alios&gt; praeterea ciuitatis nostrae praeclaros uiros solitos ita dicere, quom maiorum imagines intuerentur, uehementissume sibi animum ad uirtutem adcendi. Scilicet non ceram illam neque figuram tantam uim in sese habere, sed memoria rerum gestarum eam flammam egregiis uiris in pectore crescere neque prius sedari quam uirtus eorum famam atque gloriam adaequauerit.</w:t>
            </w:r>
          </w:p>
        </w:tc>
        <w:tc>
          <w:tcPr>
            <w:tcW w:w="4675" w:type="dxa"/>
          </w:tcPr>
          <w:p w:rsidR="00F74EEE" w:rsidRPr="00DE2782" w:rsidRDefault="00C24CD2" w:rsidP="00F74EEE">
            <w:pPr>
              <w:rPr>
                <w:rFonts w:ascii="Times New Roman" w:hAnsi="Times New Roman" w:cs="Times New Roman"/>
              </w:rPr>
            </w:pPr>
            <w:r w:rsidRPr="00DE2782">
              <w:rPr>
                <w:rFonts w:ascii="Times New Roman" w:hAnsi="Times New Roman" w:cs="Times New Roman"/>
              </w:rPr>
              <w:t>F</w:t>
            </w:r>
            <w:r w:rsidRPr="00DE2782">
              <w:rPr>
                <w:rFonts w:ascii="Times New Roman" w:hAnsi="Times New Roman" w:cs="Times New Roman"/>
              </w:rPr>
              <w:t xml:space="preserve">or I have often heard, that Q. Maximus, P. Scipio, and other famous men of our state besides were accustomed to say that, when they would look upon the </w:t>
            </w:r>
            <w:r w:rsidRPr="00DE2782">
              <w:rPr>
                <w:rFonts w:ascii="Times New Roman" w:hAnsi="Times New Roman" w:cs="Times New Roman"/>
                <w:i/>
              </w:rPr>
              <w:t>imagines</w:t>
            </w:r>
            <w:r w:rsidRPr="00DE2782">
              <w:rPr>
                <w:rFonts w:ascii="Times New Roman" w:hAnsi="Times New Roman" w:cs="Times New Roman"/>
              </w:rPr>
              <w:t xml:space="preserve"> of their ancestors, their mind burned most powerfully towards virtue. Of course, neither that wax nor the portrait held such great power in themselves, but the memory of deeds done inflamed the hearts of extraordinary men and it did not subside before their own virtue equaled the fame and glory of their ancestors’</w:t>
            </w:r>
          </w:p>
        </w:tc>
      </w:tr>
      <w:tr w:rsidR="00F74EEE" w:rsidRPr="00DE2782" w:rsidTr="00962A2B">
        <w:tc>
          <w:tcPr>
            <w:tcW w:w="4675" w:type="dxa"/>
          </w:tcPr>
          <w:p w:rsidR="00F74EEE" w:rsidRPr="00DE2782" w:rsidRDefault="00F74EEE" w:rsidP="00F74EEE">
            <w:pPr>
              <w:pStyle w:val="ListParagraph"/>
              <w:rPr>
                <w:rFonts w:ascii="Times New Roman" w:hAnsi="Times New Roman" w:cs="Times New Roman"/>
              </w:rPr>
            </w:pPr>
          </w:p>
        </w:tc>
        <w:tc>
          <w:tcPr>
            <w:tcW w:w="4675" w:type="dxa"/>
          </w:tcPr>
          <w:p w:rsidR="00F74EEE" w:rsidRPr="00DE2782" w:rsidRDefault="00F74EEE" w:rsidP="00F74EEE">
            <w:pPr>
              <w:rPr>
                <w:rFonts w:ascii="Times New Roman" w:hAnsi="Times New Roman" w:cs="Times New Roman"/>
              </w:rPr>
            </w:pPr>
          </w:p>
        </w:tc>
      </w:tr>
      <w:tr w:rsidR="00F74EEE" w:rsidRPr="00DE2782" w:rsidTr="00962A2B">
        <w:tc>
          <w:tcPr>
            <w:tcW w:w="4675" w:type="dxa"/>
          </w:tcPr>
          <w:p w:rsidR="00F74EEE" w:rsidRPr="00DE2782" w:rsidRDefault="00DE2782" w:rsidP="00F74EEE">
            <w:pPr>
              <w:pStyle w:val="ListParagraph"/>
              <w:numPr>
                <w:ilvl w:val="0"/>
                <w:numId w:val="3"/>
              </w:numPr>
              <w:ind w:left="247"/>
              <w:rPr>
                <w:rFonts w:ascii="Times New Roman" w:hAnsi="Times New Roman" w:cs="Times New Roman"/>
                <w:lang w:val="fr-FR"/>
              </w:rPr>
            </w:pPr>
            <w:proofErr w:type="spellStart"/>
            <w:r w:rsidRPr="00DE2782">
              <w:rPr>
                <w:rFonts w:ascii="Times New Roman" w:hAnsi="Times New Roman" w:cs="Times New Roman"/>
                <w:i/>
                <w:lang w:val="fr-FR"/>
              </w:rPr>
              <w:t>Jug</w:t>
            </w:r>
            <w:proofErr w:type="spellEnd"/>
            <w:r w:rsidRPr="00DE2782">
              <w:rPr>
                <w:rFonts w:ascii="Times New Roman" w:hAnsi="Times New Roman" w:cs="Times New Roman"/>
                <w:lang w:val="fr-FR"/>
              </w:rPr>
              <w:t>. 43.1, 5</w:t>
            </w:r>
          </w:p>
        </w:tc>
        <w:tc>
          <w:tcPr>
            <w:tcW w:w="4675" w:type="dxa"/>
          </w:tcPr>
          <w:p w:rsidR="00F74EEE" w:rsidRPr="00DE2782" w:rsidRDefault="00F74EEE" w:rsidP="00F74EEE">
            <w:pPr>
              <w:rPr>
                <w:rFonts w:ascii="Times New Roman" w:hAnsi="Times New Roman" w:cs="Times New Roman"/>
                <w:lang w:val="fr-FR"/>
              </w:rPr>
            </w:pPr>
          </w:p>
        </w:tc>
      </w:tr>
      <w:tr w:rsidR="00F74EEE" w:rsidRPr="00DE2782" w:rsidTr="00962A2B">
        <w:tc>
          <w:tcPr>
            <w:tcW w:w="4675" w:type="dxa"/>
          </w:tcPr>
          <w:p w:rsidR="00F74EEE" w:rsidRPr="00DE2782" w:rsidRDefault="00DE2782" w:rsidP="00F74EEE">
            <w:pPr>
              <w:pStyle w:val="ListParagraph"/>
              <w:ind w:left="0"/>
              <w:rPr>
                <w:rFonts w:ascii="Times New Roman" w:hAnsi="Times New Roman" w:cs="Times New Roman"/>
                <w:lang w:val="fr-FR"/>
              </w:rPr>
            </w:pPr>
            <w:r w:rsidRPr="00DE2782">
              <w:rPr>
                <w:rFonts w:ascii="Times New Roman" w:hAnsi="Times New Roman" w:cs="Times New Roman"/>
                <w:lang w:val="la-Latn"/>
              </w:rPr>
              <w:t>Metelloque Numidia euenerat, acri uiro et, quamquam aduorso populi partium, fama tamen aequabili et inuiolata</w:t>
            </w:r>
            <w:r w:rsidRPr="00DE2782">
              <w:rPr>
                <w:rFonts w:ascii="Times New Roman" w:hAnsi="Times New Roman" w:cs="Times New Roman"/>
                <w:lang w:val="fr-FR"/>
              </w:rPr>
              <w:t>.</w:t>
            </w:r>
          </w:p>
          <w:p w:rsidR="00DE2782" w:rsidRPr="00DE2782" w:rsidRDefault="00DE2782" w:rsidP="00F74EEE">
            <w:pPr>
              <w:pStyle w:val="ListParagraph"/>
              <w:ind w:left="0"/>
              <w:rPr>
                <w:rFonts w:ascii="Times New Roman" w:hAnsi="Times New Roman" w:cs="Times New Roman"/>
                <w:lang w:val="fr-FR"/>
              </w:rPr>
            </w:pPr>
          </w:p>
          <w:p w:rsidR="00DE2782" w:rsidRPr="00DE2782" w:rsidRDefault="00DE2782" w:rsidP="00F74EEE">
            <w:pPr>
              <w:pStyle w:val="ListParagraph"/>
              <w:ind w:left="0"/>
              <w:rPr>
                <w:rFonts w:ascii="Times New Roman" w:hAnsi="Times New Roman" w:cs="Times New Roman"/>
                <w:i/>
                <w:lang w:val="fr-FR"/>
              </w:rPr>
            </w:pPr>
            <w:r w:rsidRPr="00DE2782">
              <w:rPr>
                <w:rFonts w:ascii="Times New Roman" w:hAnsi="Times New Roman" w:cs="Times New Roman"/>
              </w:rPr>
              <w:t xml:space="preserve">[Metellus] in </w:t>
            </w:r>
            <w:proofErr w:type="spellStart"/>
            <w:r w:rsidRPr="00DE2782">
              <w:rPr>
                <w:rFonts w:ascii="Times New Roman" w:hAnsi="Times New Roman" w:cs="Times New Roman"/>
              </w:rPr>
              <w:t>Numidiam</w:t>
            </w:r>
            <w:proofErr w:type="spellEnd"/>
            <w:r w:rsidRPr="00DE2782">
              <w:rPr>
                <w:rFonts w:ascii="Times New Roman" w:hAnsi="Times New Roman" w:cs="Times New Roman"/>
              </w:rPr>
              <w:t xml:space="preserve"> </w:t>
            </w:r>
            <w:proofErr w:type="spellStart"/>
            <w:r w:rsidRPr="00DE2782">
              <w:rPr>
                <w:rFonts w:ascii="Times New Roman" w:hAnsi="Times New Roman" w:cs="Times New Roman"/>
              </w:rPr>
              <w:t>proficiscitur</w:t>
            </w:r>
            <w:proofErr w:type="spellEnd"/>
            <w:r w:rsidRPr="00DE2782">
              <w:rPr>
                <w:rFonts w:ascii="Times New Roman" w:hAnsi="Times New Roman" w:cs="Times New Roman"/>
              </w:rPr>
              <w:t xml:space="preserve">, </w:t>
            </w:r>
            <w:r w:rsidRPr="00DE2782">
              <w:rPr>
                <w:rFonts w:ascii="Times New Roman" w:hAnsi="Times New Roman" w:cs="Times New Roman"/>
                <w:lang w:val="la-Latn"/>
              </w:rPr>
              <w:t>magna spe ciuium quom propter artis bonas tum maxume quod aduorsum diuitias inuictum animum gerebat</w:t>
            </w:r>
            <w:r w:rsidRPr="00DE2782">
              <w:rPr>
                <w:rFonts w:ascii="Times New Roman" w:hAnsi="Times New Roman" w:cs="Times New Roman"/>
                <w:lang w:val="fr-FR"/>
              </w:rPr>
              <w:t>.</w:t>
            </w:r>
          </w:p>
        </w:tc>
        <w:tc>
          <w:tcPr>
            <w:tcW w:w="4675" w:type="dxa"/>
          </w:tcPr>
          <w:p w:rsidR="00F74EEE" w:rsidRPr="00DE2782" w:rsidRDefault="00DE2782" w:rsidP="00F74EEE">
            <w:pPr>
              <w:rPr>
                <w:rFonts w:ascii="Times New Roman" w:hAnsi="Times New Roman" w:cs="Times New Roman"/>
              </w:rPr>
            </w:pPr>
            <w:r w:rsidRPr="00DE2782">
              <w:rPr>
                <w:rFonts w:ascii="Times New Roman" w:hAnsi="Times New Roman" w:cs="Times New Roman"/>
              </w:rPr>
              <w:t>Numidia went to Metellus, a sharp man who, although he opposed the popular party, nevertheless had a just and inviolate reputation</w:t>
            </w:r>
            <w:r w:rsidRPr="00DE2782">
              <w:rPr>
                <w:rFonts w:ascii="Times New Roman" w:hAnsi="Times New Roman" w:cs="Times New Roman"/>
              </w:rPr>
              <w:t>.</w:t>
            </w:r>
          </w:p>
          <w:p w:rsidR="00DE2782" w:rsidRPr="00DE2782" w:rsidRDefault="00DE2782" w:rsidP="00F74EEE">
            <w:pPr>
              <w:rPr>
                <w:rFonts w:ascii="Times New Roman" w:hAnsi="Times New Roman" w:cs="Times New Roman"/>
              </w:rPr>
            </w:pPr>
          </w:p>
          <w:p w:rsidR="00DE2782" w:rsidRPr="00DE2782" w:rsidRDefault="00DE2782" w:rsidP="00F74EEE">
            <w:pPr>
              <w:rPr>
                <w:rFonts w:ascii="Times New Roman" w:hAnsi="Times New Roman" w:cs="Times New Roman"/>
              </w:rPr>
            </w:pPr>
            <w:r w:rsidRPr="00DE2782">
              <w:rPr>
                <w:rFonts w:ascii="Times New Roman" w:hAnsi="Times New Roman" w:cs="Times New Roman"/>
              </w:rPr>
              <w:t xml:space="preserve">Metellus set out to Numidia </w:t>
            </w:r>
            <w:r w:rsidRPr="00DE2782">
              <w:rPr>
                <w:rFonts w:ascii="Times New Roman" w:hAnsi="Times New Roman" w:cs="Times New Roman"/>
              </w:rPr>
              <w:t>with the great hope of the citizens not only on account of his good arts, but also especially because he lived a life unconquered by wealth</w:t>
            </w:r>
            <w:r w:rsidRPr="00DE2782">
              <w:rPr>
                <w:rFonts w:ascii="Times New Roman" w:hAnsi="Times New Roman" w:cs="Times New Roman"/>
              </w:rPr>
              <w:t>.</w:t>
            </w:r>
          </w:p>
        </w:tc>
      </w:tr>
      <w:tr w:rsidR="00F74EEE" w:rsidRPr="00DE2782" w:rsidTr="00962A2B">
        <w:tc>
          <w:tcPr>
            <w:tcW w:w="4675" w:type="dxa"/>
          </w:tcPr>
          <w:p w:rsidR="00F74EEE" w:rsidRPr="00DE2782" w:rsidRDefault="00F74EEE" w:rsidP="00F74EEE">
            <w:pPr>
              <w:pStyle w:val="ListParagraph"/>
              <w:ind w:left="0"/>
              <w:rPr>
                <w:rFonts w:ascii="Times New Roman" w:hAnsi="Times New Roman" w:cs="Times New Roman"/>
                <w:i/>
                <w:lang w:val="la-Latn"/>
              </w:rPr>
            </w:pPr>
          </w:p>
        </w:tc>
        <w:tc>
          <w:tcPr>
            <w:tcW w:w="4675" w:type="dxa"/>
          </w:tcPr>
          <w:p w:rsidR="00F74EEE" w:rsidRPr="00DE2782" w:rsidRDefault="00F74EEE" w:rsidP="00F74EEE">
            <w:pPr>
              <w:rPr>
                <w:rFonts w:ascii="Times New Roman" w:hAnsi="Times New Roman" w:cs="Times New Roman"/>
              </w:rPr>
            </w:pPr>
          </w:p>
        </w:tc>
      </w:tr>
      <w:tr w:rsidR="00F74EEE" w:rsidRPr="00DE2782" w:rsidTr="00962A2B">
        <w:tc>
          <w:tcPr>
            <w:tcW w:w="4675" w:type="dxa"/>
          </w:tcPr>
          <w:p w:rsidR="00F74EEE" w:rsidRPr="00DE2782" w:rsidRDefault="00DE2782" w:rsidP="00DC0EA9">
            <w:pPr>
              <w:pStyle w:val="ListParagraph"/>
              <w:numPr>
                <w:ilvl w:val="0"/>
                <w:numId w:val="3"/>
              </w:numPr>
              <w:ind w:left="247"/>
              <w:rPr>
                <w:rFonts w:ascii="Times New Roman" w:hAnsi="Times New Roman" w:cs="Times New Roman"/>
                <w:lang w:val="it-IT"/>
              </w:rPr>
            </w:pPr>
            <w:r w:rsidRPr="00DE2782">
              <w:rPr>
                <w:rFonts w:ascii="Times New Roman" w:hAnsi="Times New Roman" w:cs="Times New Roman"/>
                <w:i/>
                <w:lang w:val="it-IT"/>
              </w:rPr>
              <w:t>Jug</w:t>
            </w:r>
            <w:r w:rsidRPr="00DE2782">
              <w:rPr>
                <w:rFonts w:ascii="Times New Roman" w:hAnsi="Times New Roman" w:cs="Times New Roman"/>
                <w:lang w:val="it-IT"/>
              </w:rPr>
              <w:t>. 45.1</w:t>
            </w:r>
          </w:p>
        </w:tc>
        <w:tc>
          <w:tcPr>
            <w:tcW w:w="4675" w:type="dxa"/>
          </w:tcPr>
          <w:p w:rsidR="00F74EEE" w:rsidRPr="00DE2782" w:rsidRDefault="00F74EEE" w:rsidP="00F74EEE">
            <w:pPr>
              <w:rPr>
                <w:rFonts w:ascii="Times New Roman" w:hAnsi="Times New Roman" w:cs="Times New Roman"/>
                <w:lang w:val="it-IT"/>
              </w:rPr>
            </w:pPr>
          </w:p>
        </w:tc>
      </w:tr>
      <w:tr w:rsidR="00F74EEE" w:rsidRPr="00DE2782" w:rsidTr="00962A2B">
        <w:tc>
          <w:tcPr>
            <w:tcW w:w="4675" w:type="dxa"/>
          </w:tcPr>
          <w:p w:rsidR="00F74EEE" w:rsidRPr="00DE2782" w:rsidRDefault="00DE2782" w:rsidP="00DC0EA9">
            <w:pPr>
              <w:rPr>
                <w:rFonts w:ascii="Times New Roman" w:hAnsi="Times New Roman" w:cs="Times New Roman"/>
                <w:i/>
                <w:lang w:val="it-IT"/>
              </w:rPr>
            </w:pPr>
            <w:r w:rsidRPr="00DE2782">
              <w:rPr>
                <w:rFonts w:ascii="Times New Roman" w:hAnsi="Times New Roman" w:cs="Times New Roman"/>
                <w:lang w:val="la-Latn"/>
              </w:rPr>
              <w:t>in ea difficultate Metellum non minus quam in rebus hostilibus magnum et sapientem uirum fuisse conperior: tanta temperantia inter ambitionem saeuitiamque moderatum</w:t>
            </w:r>
            <w:r w:rsidRPr="00DE2782">
              <w:rPr>
                <w:rFonts w:ascii="Times New Roman" w:hAnsi="Times New Roman" w:cs="Times New Roman"/>
                <w:lang w:val="it-IT"/>
              </w:rPr>
              <w:t>.</w:t>
            </w:r>
          </w:p>
        </w:tc>
        <w:tc>
          <w:tcPr>
            <w:tcW w:w="4675" w:type="dxa"/>
          </w:tcPr>
          <w:p w:rsidR="00F74EEE" w:rsidRPr="00DE2782" w:rsidRDefault="00DE2782" w:rsidP="00F74EEE">
            <w:pPr>
              <w:rPr>
                <w:rFonts w:ascii="Times New Roman" w:hAnsi="Times New Roman" w:cs="Times New Roman"/>
              </w:rPr>
            </w:pPr>
            <w:r w:rsidRPr="00DE2782">
              <w:rPr>
                <w:rFonts w:ascii="Times New Roman" w:hAnsi="Times New Roman" w:cs="Times New Roman"/>
              </w:rPr>
              <w:t>I found that, faced with this difficulty, Metellus was a great and wise man no less than in combat: with great moderation he held himself between the desire for popularity and harsh discipline</w:t>
            </w:r>
            <w:r w:rsidRPr="00DE2782">
              <w:rPr>
                <w:rFonts w:ascii="Times New Roman" w:hAnsi="Times New Roman" w:cs="Times New Roman"/>
              </w:rPr>
              <w:t>.</w:t>
            </w:r>
          </w:p>
        </w:tc>
      </w:tr>
      <w:tr w:rsidR="00A558D3" w:rsidRPr="00DE2782" w:rsidTr="00962A2B">
        <w:tc>
          <w:tcPr>
            <w:tcW w:w="4675" w:type="dxa"/>
          </w:tcPr>
          <w:p w:rsidR="00A558D3" w:rsidRPr="00DE2782" w:rsidRDefault="00A558D3" w:rsidP="00DC0EA9">
            <w:pPr>
              <w:rPr>
                <w:rFonts w:ascii="Times New Roman" w:hAnsi="Times New Roman" w:cs="Times New Roman"/>
                <w:i/>
              </w:rPr>
            </w:pPr>
          </w:p>
        </w:tc>
        <w:tc>
          <w:tcPr>
            <w:tcW w:w="4675" w:type="dxa"/>
          </w:tcPr>
          <w:p w:rsidR="00A558D3" w:rsidRPr="00DE2782" w:rsidRDefault="00A558D3" w:rsidP="00F74EEE">
            <w:pPr>
              <w:rPr>
                <w:rFonts w:ascii="Times New Roman" w:hAnsi="Times New Roman" w:cs="Times New Roman"/>
              </w:rPr>
            </w:pPr>
          </w:p>
        </w:tc>
      </w:tr>
      <w:tr w:rsidR="00DC0EA9" w:rsidRPr="00DE2782" w:rsidTr="00962A2B">
        <w:tc>
          <w:tcPr>
            <w:tcW w:w="4675" w:type="dxa"/>
          </w:tcPr>
          <w:p w:rsidR="00DC0EA9" w:rsidRPr="00DE2782" w:rsidRDefault="00DE2782" w:rsidP="00A558D3">
            <w:pPr>
              <w:pStyle w:val="ListParagraph"/>
              <w:numPr>
                <w:ilvl w:val="0"/>
                <w:numId w:val="3"/>
              </w:numPr>
              <w:ind w:left="252"/>
              <w:rPr>
                <w:rFonts w:ascii="Times New Roman" w:hAnsi="Times New Roman" w:cs="Times New Roman"/>
              </w:rPr>
            </w:pPr>
            <w:r>
              <w:rPr>
                <w:rFonts w:ascii="Times New Roman" w:hAnsi="Times New Roman" w:cs="Times New Roman"/>
                <w:i/>
              </w:rPr>
              <w:t>Jug</w:t>
            </w:r>
            <w:r>
              <w:rPr>
                <w:rFonts w:ascii="Times New Roman" w:hAnsi="Times New Roman" w:cs="Times New Roman"/>
              </w:rPr>
              <w:t>. 55.1, 3-4</w:t>
            </w:r>
          </w:p>
        </w:tc>
        <w:tc>
          <w:tcPr>
            <w:tcW w:w="4675" w:type="dxa"/>
          </w:tcPr>
          <w:p w:rsidR="00DC0EA9" w:rsidRPr="00DE2782" w:rsidRDefault="00DC0EA9" w:rsidP="00F74EEE">
            <w:pPr>
              <w:rPr>
                <w:rFonts w:ascii="Times New Roman" w:hAnsi="Times New Roman" w:cs="Times New Roman"/>
              </w:rPr>
            </w:pPr>
          </w:p>
        </w:tc>
      </w:tr>
      <w:tr w:rsidR="003F64D9" w:rsidRPr="00DE2782" w:rsidTr="00962A2B">
        <w:tc>
          <w:tcPr>
            <w:tcW w:w="4675" w:type="dxa"/>
          </w:tcPr>
          <w:p w:rsidR="003F64D9" w:rsidRDefault="003C1228" w:rsidP="003F64D9">
            <w:pPr>
              <w:rPr>
                <w:rFonts w:ascii="Times New Roman" w:hAnsi="Times New Roman" w:cs="Times New Roman"/>
                <w:lang w:val="it-IT"/>
              </w:rPr>
            </w:pPr>
            <w:r w:rsidRPr="0034234F">
              <w:rPr>
                <w:rFonts w:ascii="Times New Roman" w:hAnsi="Times New Roman" w:cs="Times New Roman"/>
                <w:lang w:val="la-Latn"/>
              </w:rPr>
              <w:t>seque et exercitum more maiorum gereret, in aduorso loco uictor tamen uirtute fuisset</w:t>
            </w:r>
            <w:r w:rsidRPr="00600470">
              <w:rPr>
                <w:rFonts w:ascii="Times New Roman" w:hAnsi="Times New Roman" w:cs="Times New Roman"/>
                <w:lang w:val="it-IT"/>
              </w:rPr>
              <w:t>.</w:t>
            </w:r>
          </w:p>
          <w:p w:rsidR="003C1228" w:rsidRDefault="003C1228" w:rsidP="003F64D9">
            <w:pPr>
              <w:rPr>
                <w:rFonts w:ascii="Times New Roman" w:hAnsi="Times New Roman" w:cs="Times New Roman"/>
                <w:lang w:val="it-IT"/>
              </w:rPr>
            </w:pPr>
          </w:p>
          <w:p w:rsidR="003C1228" w:rsidRDefault="003C1228" w:rsidP="003F64D9">
            <w:pPr>
              <w:rPr>
                <w:rFonts w:ascii="Times New Roman" w:hAnsi="Times New Roman" w:cs="Times New Roman"/>
                <w:lang w:val="la-Latn"/>
              </w:rPr>
            </w:pPr>
          </w:p>
          <w:p w:rsidR="003C1228" w:rsidRDefault="003C1228" w:rsidP="003F64D9">
            <w:pPr>
              <w:rPr>
                <w:rFonts w:ascii="Times New Roman" w:hAnsi="Times New Roman" w:cs="Times New Roman"/>
                <w:lang w:val="la-Latn"/>
              </w:rPr>
            </w:pPr>
          </w:p>
          <w:p w:rsidR="003C1228" w:rsidRDefault="003C1228" w:rsidP="003F64D9">
            <w:pPr>
              <w:rPr>
                <w:rFonts w:ascii="Times New Roman" w:hAnsi="Times New Roman" w:cs="Times New Roman"/>
                <w:lang w:val="la-Latn"/>
              </w:rPr>
            </w:pPr>
            <w:r w:rsidRPr="0034234F">
              <w:rPr>
                <w:rFonts w:ascii="Times New Roman" w:hAnsi="Times New Roman" w:cs="Times New Roman"/>
                <w:lang w:val="la-Latn"/>
              </w:rPr>
              <w:t>eo intentior ad uictoriam niti, omnibus modis festinare, cauere tamen necubi hosti opportunus fieret, meminisse post gloriam inuidiam sequi. Ita quo clarior erat, eo magis anxius erat</w:t>
            </w:r>
            <w:r w:rsidRPr="00C77FFC">
              <w:rPr>
                <w:rFonts w:ascii="Times New Roman" w:hAnsi="Times New Roman" w:cs="Times New Roman"/>
                <w:lang w:val="la-Latn"/>
              </w:rPr>
              <w:t>.</w:t>
            </w:r>
          </w:p>
          <w:p w:rsidR="003C1228" w:rsidRPr="003C1228" w:rsidRDefault="003C1228" w:rsidP="003C1228">
            <w:pPr>
              <w:rPr>
                <w:rFonts w:ascii="Times New Roman" w:hAnsi="Times New Roman" w:cs="Times New Roman"/>
                <w:lang w:val="la-Latn"/>
              </w:rPr>
            </w:pPr>
          </w:p>
          <w:p w:rsidR="003C1228" w:rsidRDefault="003C1228" w:rsidP="003C1228">
            <w:pPr>
              <w:rPr>
                <w:rFonts w:ascii="Times New Roman" w:hAnsi="Times New Roman" w:cs="Times New Roman"/>
                <w:lang w:val="la-Latn"/>
              </w:rPr>
            </w:pPr>
          </w:p>
          <w:p w:rsidR="003C1228" w:rsidRDefault="003C1228" w:rsidP="003C1228">
            <w:pPr>
              <w:rPr>
                <w:rFonts w:ascii="Times New Roman" w:hAnsi="Times New Roman" w:cs="Times New Roman"/>
                <w:lang w:val="la-Latn"/>
              </w:rPr>
            </w:pPr>
          </w:p>
          <w:p w:rsidR="00962A2B" w:rsidRDefault="00962A2B" w:rsidP="003C1228">
            <w:pPr>
              <w:rPr>
                <w:rFonts w:ascii="Times New Roman" w:hAnsi="Times New Roman" w:cs="Times New Roman"/>
                <w:lang w:val="la-Latn"/>
              </w:rPr>
            </w:pPr>
            <w:bookmarkStart w:id="0" w:name="_GoBack"/>
            <w:bookmarkEnd w:id="0"/>
          </w:p>
          <w:p w:rsidR="003C1228" w:rsidRPr="005743FB" w:rsidRDefault="005743FB" w:rsidP="005743FB">
            <w:pPr>
              <w:pStyle w:val="ListParagraph"/>
              <w:numPr>
                <w:ilvl w:val="0"/>
                <w:numId w:val="3"/>
              </w:numPr>
              <w:ind w:left="247"/>
              <w:rPr>
                <w:rFonts w:ascii="Times New Roman" w:hAnsi="Times New Roman" w:cs="Times New Roman"/>
              </w:rPr>
            </w:pPr>
            <w:r>
              <w:rPr>
                <w:rFonts w:ascii="Times New Roman" w:hAnsi="Times New Roman" w:cs="Times New Roman"/>
                <w:i/>
              </w:rPr>
              <w:t>Jug</w:t>
            </w:r>
            <w:r>
              <w:rPr>
                <w:rFonts w:ascii="Times New Roman" w:hAnsi="Times New Roman" w:cs="Times New Roman"/>
              </w:rPr>
              <w:t>. 64.1</w:t>
            </w:r>
          </w:p>
        </w:tc>
        <w:tc>
          <w:tcPr>
            <w:tcW w:w="4675" w:type="dxa"/>
          </w:tcPr>
          <w:p w:rsidR="003F64D9" w:rsidRDefault="003C1228" w:rsidP="00F74EEE">
            <w:pPr>
              <w:rPr>
                <w:rFonts w:ascii="Times New Roman" w:hAnsi="Times New Roman" w:cs="Times New Roman"/>
              </w:rPr>
            </w:pPr>
            <w:r>
              <w:rPr>
                <w:rFonts w:ascii="Times New Roman" w:hAnsi="Times New Roman" w:cs="Times New Roman"/>
              </w:rPr>
              <w:lastRenderedPageBreak/>
              <w:t>Metellus</w:t>
            </w:r>
            <w:r w:rsidRPr="003C1228">
              <w:rPr>
                <w:rFonts w:ascii="Times New Roman" w:hAnsi="Times New Roman" w:cs="Times New Roman"/>
              </w:rPr>
              <w:t xml:space="preserve"> conducted himself and the army according to the </w:t>
            </w:r>
            <w:r w:rsidRPr="003C1228">
              <w:rPr>
                <w:rFonts w:ascii="Times New Roman" w:hAnsi="Times New Roman" w:cs="Times New Roman"/>
                <w:i/>
              </w:rPr>
              <w:t>mos maiorum</w:t>
            </w:r>
            <w:r w:rsidRPr="003C1228">
              <w:rPr>
                <w:rFonts w:ascii="Times New Roman" w:hAnsi="Times New Roman" w:cs="Times New Roman"/>
              </w:rPr>
              <w:t xml:space="preserve"> and that, although in an unfavorable position, he was victorious because of his virtue</w:t>
            </w:r>
            <w:r>
              <w:rPr>
                <w:rFonts w:ascii="Times New Roman" w:hAnsi="Times New Roman" w:cs="Times New Roman"/>
              </w:rPr>
              <w:t>.</w:t>
            </w:r>
          </w:p>
          <w:p w:rsidR="003C1228" w:rsidRDefault="003C1228" w:rsidP="00F74EEE">
            <w:pPr>
              <w:rPr>
                <w:rFonts w:ascii="Times New Roman" w:hAnsi="Times New Roman" w:cs="Times New Roman"/>
              </w:rPr>
            </w:pPr>
          </w:p>
          <w:p w:rsidR="003C1228" w:rsidRDefault="003C1228" w:rsidP="00F74EEE">
            <w:pPr>
              <w:rPr>
                <w:rFonts w:ascii="Times New Roman" w:hAnsi="Times New Roman" w:cs="Times New Roman"/>
              </w:rPr>
            </w:pPr>
            <w:r>
              <w:rPr>
                <w:rFonts w:ascii="Times New Roman" w:hAnsi="Times New Roman" w:cs="Times New Roman"/>
              </w:rPr>
              <w:t xml:space="preserve">Metellus </w:t>
            </w:r>
            <w:r w:rsidRPr="003C1228">
              <w:rPr>
                <w:rFonts w:ascii="Times New Roman" w:hAnsi="Times New Roman" w:cs="Times New Roman"/>
              </w:rPr>
              <w:t>strove more seriously towards victory, and hastened in every way, though he was careful not to offer the enemy any opportunity, and remembered that after glory follows jealousy. Thus, the more famous he was, the more cautious he was</w:t>
            </w:r>
          </w:p>
          <w:p w:rsidR="003C1228" w:rsidRPr="003C1228" w:rsidRDefault="003C1228" w:rsidP="00F74EEE">
            <w:pPr>
              <w:rPr>
                <w:rFonts w:ascii="Times New Roman" w:hAnsi="Times New Roman" w:cs="Times New Roman"/>
              </w:rPr>
            </w:pPr>
          </w:p>
        </w:tc>
      </w:tr>
      <w:tr w:rsidR="00DC2D54" w:rsidRPr="00DE2782" w:rsidTr="00962A2B">
        <w:tc>
          <w:tcPr>
            <w:tcW w:w="4675" w:type="dxa"/>
          </w:tcPr>
          <w:p w:rsidR="00DC2D54" w:rsidRPr="005743FB" w:rsidRDefault="005743FB" w:rsidP="003F64D9">
            <w:pPr>
              <w:rPr>
                <w:rFonts w:ascii="Times New Roman" w:hAnsi="Times New Roman" w:cs="Times New Roman"/>
                <w:lang w:val="fr-FR"/>
              </w:rPr>
            </w:pPr>
            <w:r w:rsidRPr="005743FB">
              <w:rPr>
                <w:rFonts w:ascii="Times New Roman" w:hAnsi="Times New Roman" w:cs="Times New Roman"/>
                <w:lang w:val="la-Latn"/>
              </w:rPr>
              <w:lastRenderedPageBreak/>
              <w:t>quoi quamquam uirtus, gloria atque alia optanda bonis superabant, tamen inerat contemptor animus et superbia, commune nobilitatis malum</w:t>
            </w:r>
            <w:r w:rsidRPr="005743FB">
              <w:rPr>
                <w:rFonts w:ascii="Times New Roman" w:hAnsi="Times New Roman" w:cs="Times New Roman"/>
                <w:lang w:val="fr-FR"/>
              </w:rPr>
              <w:t>.</w:t>
            </w:r>
          </w:p>
        </w:tc>
        <w:tc>
          <w:tcPr>
            <w:tcW w:w="4675" w:type="dxa"/>
          </w:tcPr>
          <w:p w:rsidR="00DC2D54" w:rsidRPr="005743FB" w:rsidRDefault="005743FB" w:rsidP="00F74EEE">
            <w:pPr>
              <w:rPr>
                <w:rFonts w:ascii="Times New Roman" w:hAnsi="Times New Roman" w:cs="Times New Roman"/>
              </w:rPr>
            </w:pPr>
            <w:r w:rsidRPr="005743FB">
              <w:rPr>
                <w:rFonts w:ascii="Times New Roman" w:hAnsi="Times New Roman" w:cs="Times New Roman"/>
              </w:rPr>
              <w:t>A</w:t>
            </w:r>
            <w:r w:rsidRPr="005743FB">
              <w:rPr>
                <w:rFonts w:ascii="Times New Roman" w:hAnsi="Times New Roman" w:cs="Times New Roman"/>
              </w:rPr>
              <w:t xml:space="preserve">lthough Metellus possessed </w:t>
            </w:r>
            <w:r w:rsidRPr="005743FB">
              <w:rPr>
                <w:rFonts w:ascii="Times New Roman" w:hAnsi="Times New Roman" w:cs="Times New Roman"/>
                <w:i/>
              </w:rPr>
              <w:t>uirtus</w:t>
            </w:r>
            <w:r w:rsidRPr="005743FB">
              <w:rPr>
                <w:rFonts w:ascii="Times New Roman" w:hAnsi="Times New Roman" w:cs="Times New Roman"/>
              </w:rPr>
              <w:t xml:space="preserve">, </w:t>
            </w:r>
            <w:r w:rsidRPr="005743FB">
              <w:rPr>
                <w:rFonts w:ascii="Times New Roman" w:hAnsi="Times New Roman" w:cs="Times New Roman"/>
                <w:i/>
              </w:rPr>
              <w:t>gloria</w:t>
            </w:r>
            <w:r w:rsidRPr="005743FB">
              <w:rPr>
                <w:rFonts w:ascii="Times New Roman" w:hAnsi="Times New Roman" w:cs="Times New Roman"/>
              </w:rPr>
              <w:t>, and other things desired by good men in abundance, nevertheless there was in him a scornful spirit and arrogance, the common evil of the nobility</w:t>
            </w:r>
            <w:r w:rsidRPr="005743FB">
              <w:rPr>
                <w:rFonts w:ascii="Times New Roman" w:hAnsi="Times New Roman" w:cs="Times New Roman"/>
              </w:rPr>
              <w:t>.</w:t>
            </w:r>
          </w:p>
        </w:tc>
      </w:tr>
    </w:tbl>
    <w:p w:rsidR="00A558D3" w:rsidRDefault="00A558D3" w:rsidP="00863B8C">
      <w:pPr>
        <w:spacing w:after="0" w:line="240" w:lineRule="auto"/>
        <w:rPr>
          <w:rFonts w:ascii="Times New Roman" w:hAnsi="Times New Roman" w:cs="Times New Roman"/>
          <w:sz w:val="24"/>
          <w:szCs w:val="24"/>
        </w:rPr>
      </w:pPr>
    </w:p>
    <w:p w:rsidR="00A558D3" w:rsidRDefault="00962A2B" w:rsidP="001133D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Selected </w:t>
      </w:r>
      <w:r w:rsidR="00A558D3" w:rsidRPr="001133DD">
        <w:rPr>
          <w:rFonts w:ascii="Times New Roman" w:hAnsi="Times New Roman" w:cs="Times New Roman"/>
          <w:b/>
          <w:sz w:val="20"/>
          <w:szCs w:val="20"/>
        </w:rPr>
        <w:t>Works Cited</w:t>
      </w:r>
    </w:p>
    <w:p w:rsidR="00776E24" w:rsidRPr="001133DD" w:rsidRDefault="00776E24" w:rsidP="001133DD">
      <w:pPr>
        <w:spacing w:after="0" w:line="240" w:lineRule="auto"/>
        <w:jc w:val="center"/>
        <w:rPr>
          <w:rFonts w:ascii="Times New Roman" w:hAnsi="Times New Roman" w:cs="Times New Roman"/>
          <w:b/>
          <w:sz w:val="20"/>
          <w:szCs w:val="20"/>
        </w:rPr>
      </w:pP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r w:rsidRPr="00962A2B">
        <w:rPr>
          <w:sz w:val="20"/>
          <w:szCs w:val="20"/>
        </w:rPr>
        <w:fldChar w:fldCharType="begin"/>
      </w:r>
      <w:r w:rsidRPr="00962A2B">
        <w:rPr>
          <w:sz w:val="20"/>
          <w:szCs w:val="20"/>
        </w:rPr>
        <w:instrText xml:space="preserve"> ADDIN ZOTERO_BIBL {"custom":[]} CSL_BIBLIOGRAPHY </w:instrText>
      </w:r>
      <w:r w:rsidRPr="00962A2B">
        <w:rPr>
          <w:sz w:val="20"/>
          <w:szCs w:val="20"/>
        </w:rPr>
        <w:fldChar w:fldCharType="separate"/>
      </w:r>
      <w:r w:rsidRPr="00962A2B">
        <w:rPr>
          <w:rFonts w:ascii="Times New Roman" w:hAnsi="Times New Roman" w:cs="Times New Roman"/>
          <w:sz w:val="20"/>
          <w:szCs w:val="20"/>
        </w:rPr>
        <w:t xml:space="preserve">Batstone, William W. 1988. “The Antithesis of Virtue: Sallust’s </w:t>
      </w:r>
      <w:r w:rsidRPr="00962A2B">
        <w:rPr>
          <w:rFonts w:ascii="Times New Roman" w:hAnsi="Times New Roman" w:cs="Times New Roman"/>
          <w:i/>
          <w:iCs/>
          <w:sz w:val="20"/>
          <w:szCs w:val="20"/>
        </w:rPr>
        <w:t>Synkrisis</w:t>
      </w:r>
      <w:r w:rsidRPr="00962A2B">
        <w:rPr>
          <w:rFonts w:ascii="Times New Roman" w:hAnsi="Times New Roman" w:cs="Times New Roman"/>
          <w:sz w:val="20"/>
          <w:szCs w:val="20"/>
        </w:rPr>
        <w:t xml:space="preserve"> and the Crisis of the Late Republic.” </w:t>
      </w:r>
      <w:r w:rsidRPr="00962A2B">
        <w:rPr>
          <w:rFonts w:ascii="Times New Roman" w:hAnsi="Times New Roman" w:cs="Times New Roman"/>
          <w:i/>
          <w:iCs/>
          <w:sz w:val="20"/>
          <w:szCs w:val="20"/>
        </w:rPr>
        <w:t>CA</w:t>
      </w:r>
      <w:r w:rsidRPr="00962A2B">
        <w:rPr>
          <w:rFonts w:ascii="Times New Roman" w:hAnsi="Times New Roman" w:cs="Times New Roman"/>
          <w:sz w:val="20"/>
          <w:szCs w:val="20"/>
        </w:rPr>
        <w:t xml:space="preserve"> 7: 1–29.</w:t>
      </w: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r w:rsidRPr="00962A2B">
        <w:rPr>
          <w:rFonts w:ascii="Times New Roman" w:hAnsi="Times New Roman" w:cs="Times New Roman"/>
          <w:sz w:val="20"/>
          <w:szCs w:val="20"/>
        </w:rPr>
        <w:t xml:space="preserve">———. 1990. “Intellectual Conflict and </w:t>
      </w:r>
      <w:r w:rsidRPr="00962A2B">
        <w:rPr>
          <w:rFonts w:ascii="Times New Roman" w:hAnsi="Times New Roman" w:cs="Times New Roman"/>
          <w:i/>
          <w:iCs/>
          <w:sz w:val="20"/>
          <w:szCs w:val="20"/>
        </w:rPr>
        <w:t>Mimesis</w:t>
      </w:r>
      <w:r w:rsidRPr="00962A2B">
        <w:rPr>
          <w:rFonts w:ascii="Times New Roman" w:hAnsi="Times New Roman" w:cs="Times New Roman"/>
          <w:sz w:val="20"/>
          <w:szCs w:val="20"/>
        </w:rPr>
        <w:t xml:space="preserve"> in Sallust’s </w:t>
      </w:r>
      <w:r w:rsidRPr="00962A2B">
        <w:rPr>
          <w:rFonts w:ascii="Times New Roman" w:hAnsi="Times New Roman" w:cs="Times New Roman"/>
          <w:i/>
          <w:iCs/>
          <w:sz w:val="20"/>
          <w:szCs w:val="20"/>
        </w:rPr>
        <w:t>Bellum Catilinae</w:t>
      </w:r>
      <w:r w:rsidRPr="00962A2B">
        <w:rPr>
          <w:rFonts w:ascii="Times New Roman" w:hAnsi="Times New Roman" w:cs="Times New Roman"/>
          <w:sz w:val="20"/>
          <w:szCs w:val="20"/>
        </w:rPr>
        <w:t xml:space="preserve">.” In </w:t>
      </w:r>
      <w:r w:rsidRPr="00962A2B">
        <w:rPr>
          <w:rFonts w:ascii="Times New Roman" w:hAnsi="Times New Roman" w:cs="Times New Roman"/>
          <w:i/>
          <w:iCs/>
          <w:sz w:val="20"/>
          <w:szCs w:val="20"/>
        </w:rPr>
        <w:t>Conflict, Antithesis and the Ancient Historian</w:t>
      </w:r>
      <w:r w:rsidRPr="00962A2B">
        <w:rPr>
          <w:rFonts w:ascii="Times New Roman" w:hAnsi="Times New Roman" w:cs="Times New Roman"/>
          <w:sz w:val="20"/>
          <w:szCs w:val="20"/>
        </w:rPr>
        <w:t>, ed. by J. W. Allison, 112–32. Columbus, OH: Ohio State University Press.</w:t>
      </w: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r w:rsidRPr="00962A2B">
        <w:rPr>
          <w:rFonts w:ascii="Times New Roman" w:hAnsi="Times New Roman" w:cs="Times New Roman"/>
          <w:sz w:val="20"/>
          <w:szCs w:val="20"/>
        </w:rPr>
        <w:t xml:space="preserve">———. 2010a. “Catiline’s Speeches in Sallust’s </w:t>
      </w:r>
      <w:r w:rsidRPr="00962A2B">
        <w:rPr>
          <w:rFonts w:ascii="Times New Roman" w:hAnsi="Times New Roman" w:cs="Times New Roman"/>
          <w:i/>
          <w:iCs/>
          <w:sz w:val="20"/>
          <w:szCs w:val="20"/>
        </w:rPr>
        <w:t>Bellum Catilinae</w:t>
      </w:r>
      <w:r w:rsidRPr="00962A2B">
        <w:rPr>
          <w:rFonts w:ascii="Times New Roman" w:hAnsi="Times New Roman" w:cs="Times New Roman"/>
          <w:sz w:val="20"/>
          <w:szCs w:val="20"/>
        </w:rPr>
        <w:t xml:space="preserve">.” In </w:t>
      </w:r>
      <w:r w:rsidRPr="00962A2B">
        <w:rPr>
          <w:rFonts w:ascii="Times New Roman" w:hAnsi="Times New Roman" w:cs="Times New Roman"/>
          <w:i/>
          <w:iCs/>
          <w:sz w:val="20"/>
          <w:szCs w:val="20"/>
        </w:rPr>
        <w:t>Form and Function in Roman Oratory</w:t>
      </w:r>
      <w:r w:rsidRPr="00962A2B">
        <w:rPr>
          <w:rFonts w:ascii="Times New Roman" w:hAnsi="Times New Roman" w:cs="Times New Roman"/>
          <w:sz w:val="20"/>
          <w:szCs w:val="20"/>
        </w:rPr>
        <w:t xml:space="preserve">, ed. by D. H. Berry and Andrew </w:t>
      </w:r>
      <w:proofErr w:type="spellStart"/>
      <w:r w:rsidRPr="00962A2B">
        <w:rPr>
          <w:rFonts w:ascii="Times New Roman" w:hAnsi="Times New Roman" w:cs="Times New Roman"/>
          <w:sz w:val="20"/>
          <w:szCs w:val="20"/>
        </w:rPr>
        <w:t>Erksine</w:t>
      </w:r>
      <w:proofErr w:type="spellEnd"/>
      <w:r w:rsidRPr="00962A2B">
        <w:rPr>
          <w:rFonts w:ascii="Times New Roman" w:hAnsi="Times New Roman" w:cs="Times New Roman"/>
          <w:sz w:val="20"/>
          <w:szCs w:val="20"/>
        </w:rPr>
        <w:t>, 227–46. Cambridge: Cambridge University Press.</w:t>
      </w:r>
    </w:p>
    <w:p w:rsidR="00962A2B" w:rsidRPr="00962A2B" w:rsidRDefault="00962A2B" w:rsidP="00962A2B">
      <w:pPr>
        <w:pStyle w:val="Bibliography"/>
        <w:spacing w:after="0" w:line="240" w:lineRule="auto"/>
        <w:rPr>
          <w:rFonts w:ascii="Times New Roman" w:hAnsi="Times New Roman" w:cs="Times New Roman"/>
          <w:sz w:val="20"/>
          <w:szCs w:val="20"/>
        </w:rPr>
      </w:pPr>
      <w:r w:rsidRPr="00962A2B">
        <w:rPr>
          <w:rFonts w:ascii="Times New Roman" w:hAnsi="Times New Roman" w:cs="Times New Roman"/>
          <w:sz w:val="20"/>
          <w:szCs w:val="20"/>
        </w:rPr>
        <w:t xml:space="preserve">Chaplin, Jane D. 2000. </w:t>
      </w:r>
      <w:r w:rsidRPr="00962A2B">
        <w:rPr>
          <w:rFonts w:ascii="Times New Roman" w:hAnsi="Times New Roman" w:cs="Times New Roman"/>
          <w:i/>
          <w:iCs/>
          <w:sz w:val="20"/>
          <w:szCs w:val="20"/>
        </w:rPr>
        <w:t>Livy’s Exemplary History</w:t>
      </w:r>
      <w:r w:rsidRPr="00962A2B">
        <w:rPr>
          <w:rFonts w:ascii="Times New Roman" w:hAnsi="Times New Roman" w:cs="Times New Roman"/>
          <w:sz w:val="20"/>
          <w:szCs w:val="20"/>
        </w:rPr>
        <w:t>. Oxford: Oxford University Press.</w:t>
      </w:r>
    </w:p>
    <w:p w:rsidR="00962A2B" w:rsidRPr="00962A2B" w:rsidRDefault="00962A2B" w:rsidP="002B26CB">
      <w:pPr>
        <w:pStyle w:val="Bibliography"/>
        <w:spacing w:after="0" w:line="240" w:lineRule="auto"/>
        <w:ind w:left="720" w:hanging="720"/>
        <w:rPr>
          <w:rFonts w:ascii="Times New Roman" w:hAnsi="Times New Roman" w:cs="Times New Roman"/>
          <w:sz w:val="20"/>
          <w:szCs w:val="20"/>
        </w:rPr>
      </w:pPr>
      <w:r w:rsidRPr="00962A2B">
        <w:rPr>
          <w:rFonts w:ascii="Times New Roman" w:hAnsi="Times New Roman" w:cs="Times New Roman"/>
          <w:sz w:val="20"/>
          <w:szCs w:val="20"/>
        </w:rPr>
        <w:t xml:space="preserve">Comber, Michael, and Catalina </w:t>
      </w:r>
      <w:proofErr w:type="spellStart"/>
      <w:r w:rsidRPr="00962A2B">
        <w:rPr>
          <w:rFonts w:ascii="Times New Roman" w:hAnsi="Times New Roman" w:cs="Times New Roman"/>
          <w:sz w:val="20"/>
          <w:szCs w:val="20"/>
        </w:rPr>
        <w:t>Balmaceda</w:t>
      </w:r>
      <w:proofErr w:type="spellEnd"/>
      <w:r w:rsidRPr="00962A2B">
        <w:rPr>
          <w:rFonts w:ascii="Times New Roman" w:hAnsi="Times New Roman" w:cs="Times New Roman"/>
          <w:sz w:val="20"/>
          <w:szCs w:val="20"/>
        </w:rPr>
        <w:t xml:space="preserve">, eds. </w:t>
      </w:r>
      <w:r>
        <w:rPr>
          <w:rFonts w:ascii="Times New Roman" w:hAnsi="Times New Roman" w:cs="Times New Roman"/>
          <w:sz w:val="20"/>
          <w:szCs w:val="20"/>
        </w:rPr>
        <w:t xml:space="preserve">and trans. </w:t>
      </w:r>
      <w:r w:rsidRPr="00962A2B">
        <w:rPr>
          <w:rFonts w:ascii="Times New Roman" w:hAnsi="Times New Roman" w:cs="Times New Roman"/>
          <w:sz w:val="20"/>
          <w:szCs w:val="20"/>
        </w:rPr>
        <w:t xml:space="preserve">2009. </w:t>
      </w:r>
      <w:r w:rsidRPr="00962A2B">
        <w:rPr>
          <w:rFonts w:ascii="Times New Roman" w:hAnsi="Times New Roman" w:cs="Times New Roman"/>
          <w:i/>
          <w:iCs/>
          <w:sz w:val="20"/>
          <w:szCs w:val="20"/>
        </w:rPr>
        <w:t xml:space="preserve">Sallust: The War </w:t>
      </w:r>
      <w:proofErr w:type="gramStart"/>
      <w:r w:rsidRPr="00962A2B">
        <w:rPr>
          <w:rFonts w:ascii="Times New Roman" w:hAnsi="Times New Roman" w:cs="Times New Roman"/>
          <w:i/>
          <w:iCs/>
          <w:sz w:val="20"/>
          <w:szCs w:val="20"/>
        </w:rPr>
        <w:t>Against</w:t>
      </w:r>
      <w:proofErr w:type="gramEnd"/>
      <w:r w:rsidRPr="00962A2B">
        <w:rPr>
          <w:rFonts w:ascii="Times New Roman" w:hAnsi="Times New Roman" w:cs="Times New Roman"/>
          <w:i/>
          <w:iCs/>
          <w:sz w:val="20"/>
          <w:szCs w:val="20"/>
        </w:rPr>
        <w:t xml:space="preserve"> Jugurtha</w:t>
      </w:r>
      <w:r w:rsidRPr="00962A2B">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962A2B">
        <w:rPr>
          <w:rFonts w:ascii="Times New Roman" w:hAnsi="Times New Roman" w:cs="Times New Roman"/>
          <w:sz w:val="20"/>
          <w:szCs w:val="20"/>
        </w:rPr>
        <w:t>Aris</w:t>
      </w:r>
      <w:proofErr w:type="spellEnd"/>
      <w:r w:rsidRPr="00962A2B">
        <w:rPr>
          <w:rFonts w:ascii="Times New Roman" w:hAnsi="Times New Roman" w:cs="Times New Roman"/>
          <w:sz w:val="20"/>
          <w:szCs w:val="20"/>
        </w:rPr>
        <w:t xml:space="preserve"> and Phillips Classical Texts. Oxford: Oxbow Books.</w:t>
      </w:r>
    </w:p>
    <w:p w:rsidR="00962A2B" w:rsidRPr="00962A2B" w:rsidRDefault="00962A2B" w:rsidP="00962A2B">
      <w:pPr>
        <w:pStyle w:val="Bibliography"/>
        <w:spacing w:after="0" w:line="240" w:lineRule="auto"/>
        <w:rPr>
          <w:rFonts w:ascii="Times New Roman" w:hAnsi="Times New Roman" w:cs="Times New Roman"/>
          <w:sz w:val="20"/>
          <w:szCs w:val="20"/>
        </w:rPr>
      </w:pPr>
      <w:r w:rsidRPr="00962A2B">
        <w:rPr>
          <w:rFonts w:ascii="Times New Roman" w:hAnsi="Times New Roman" w:cs="Times New Roman"/>
          <w:sz w:val="20"/>
          <w:szCs w:val="20"/>
        </w:rPr>
        <w:t>Davis, John T. 1980. “</w:t>
      </w:r>
      <w:r w:rsidRPr="00962A2B">
        <w:rPr>
          <w:rFonts w:ascii="Times New Roman" w:hAnsi="Times New Roman" w:cs="Times New Roman"/>
          <w:i/>
          <w:iCs/>
          <w:sz w:val="20"/>
          <w:szCs w:val="20"/>
        </w:rPr>
        <w:t>Exempla</w:t>
      </w:r>
      <w:r w:rsidRPr="00962A2B">
        <w:rPr>
          <w:rFonts w:ascii="Times New Roman" w:hAnsi="Times New Roman" w:cs="Times New Roman"/>
          <w:sz w:val="20"/>
          <w:szCs w:val="20"/>
        </w:rPr>
        <w:t xml:space="preserve"> and Anti-</w:t>
      </w:r>
      <w:r w:rsidRPr="00962A2B">
        <w:rPr>
          <w:rFonts w:ascii="Times New Roman" w:hAnsi="Times New Roman" w:cs="Times New Roman"/>
          <w:i/>
          <w:iCs/>
          <w:sz w:val="20"/>
          <w:szCs w:val="20"/>
        </w:rPr>
        <w:t>exempla</w:t>
      </w:r>
      <w:r w:rsidRPr="00962A2B">
        <w:rPr>
          <w:rFonts w:ascii="Times New Roman" w:hAnsi="Times New Roman" w:cs="Times New Roman"/>
          <w:sz w:val="20"/>
          <w:szCs w:val="20"/>
        </w:rPr>
        <w:t xml:space="preserve"> in the </w:t>
      </w:r>
      <w:proofErr w:type="spellStart"/>
      <w:r w:rsidRPr="00962A2B">
        <w:rPr>
          <w:rFonts w:ascii="Times New Roman" w:hAnsi="Times New Roman" w:cs="Times New Roman"/>
          <w:i/>
          <w:iCs/>
          <w:sz w:val="20"/>
          <w:szCs w:val="20"/>
        </w:rPr>
        <w:t>Amores</w:t>
      </w:r>
      <w:proofErr w:type="spellEnd"/>
      <w:r w:rsidRPr="00962A2B">
        <w:rPr>
          <w:rFonts w:ascii="Times New Roman" w:hAnsi="Times New Roman" w:cs="Times New Roman"/>
          <w:sz w:val="20"/>
          <w:szCs w:val="20"/>
        </w:rPr>
        <w:t xml:space="preserve"> of Ovid.” </w:t>
      </w:r>
      <w:proofErr w:type="spellStart"/>
      <w:r w:rsidRPr="00962A2B">
        <w:rPr>
          <w:rFonts w:ascii="Times New Roman" w:hAnsi="Times New Roman" w:cs="Times New Roman"/>
          <w:i/>
          <w:iCs/>
          <w:sz w:val="20"/>
          <w:szCs w:val="20"/>
        </w:rPr>
        <w:t>Latomus</w:t>
      </w:r>
      <w:proofErr w:type="spellEnd"/>
      <w:r w:rsidRPr="00962A2B">
        <w:rPr>
          <w:rFonts w:ascii="Times New Roman" w:hAnsi="Times New Roman" w:cs="Times New Roman"/>
          <w:sz w:val="20"/>
          <w:szCs w:val="20"/>
        </w:rPr>
        <w:t xml:space="preserve"> 39: 412–17.</w:t>
      </w:r>
    </w:p>
    <w:p w:rsidR="00962A2B" w:rsidRPr="00962A2B" w:rsidRDefault="00962A2B" w:rsidP="00962A2B">
      <w:pPr>
        <w:pStyle w:val="Bibliography"/>
        <w:spacing w:after="0" w:line="240" w:lineRule="auto"/>
        <w:rPr>
          <w:rFonts w:ascii="Times New Roman" w:hAnsi="Times New Roman" w:cs="Times New Roman"/>
          <w:sz w:val="20"/>
          <w:szCs w:val="20"/>
        </w:rPr>
      </w:pPr>
      <w:r w:rsidRPr="00962A2B">
        <w:rPr>
          <w:rFonts w:ascii="Times New Roman" w:hAnsi="Times New Roman" w:cs="Times New Roman"/>
          <w:sz w:val="20"/>
          <w:szCs w:val="20"/>
        </w:rPr>
        <w:t xml:space="preserve">Earl, D. C. 1961. </w:t>
      </w:r>
      <w:r w:rsidRPr="00962A2B">
        <w:rPr>
          <w:rFonts w:ascii="Times New Roman" w:hAnsi="Times New Roman" w:cs="Times New Roman"/>
          <w:i/>
          <w:iCs/>
          <w:sz w:val="20"/>
          <w:szCs w:val="20"/>
        </w:rPr>
        <w:t>The Political Thought of Sallust</w:t>
      </w:r>
      <w:r w:rsidRPr="00962A2B">
        <w:rPr>
          <w:rFonts w:ascii="Times New Roman" w:hAnsi="Times New Roman" w:cs="Times New Roman"/>
          <w:sz w:val="20"/>
          <w:szCs w:val="20"/>
        </w:rPr>
        <w:t>. Cambridge: Cambridge University Press.</w:t>
      </w:r>
    </w:p>
    <w:p w:rsidR="00962A2B" w:rsidRPr="00962A2B" w:rsidRDefault="00962A2B" w:rsidP="00962A2B">
      <w:pPr>
        <w:pStyle w:val="Bibliography"/>
        <w:spacing w:after="0" w:line="240" w:lineRule="auto"/>
        <w:rPr>
          <w:rFonts w:ascii="Times New Roman" w:hAnsi="Times New Roman" w:cs="Times New Roman"/>
          <w:sz w:val="20"/>
          <w:szCs w:val="20"/>
        </w:rPr>
      </w:pPr>
      <w:r w:rsidRPr="00962A2B">
        <w:rPr>
          <w:rFonts w:ascii="Times New Roman" w:hAnsi="Times New Roman" w:cs="Times New Roman"/>
          <w:sz w:val="20"/>
          <w:szCs w:val="20"/>
        </w:rPr>
        <w:t xml:space="preserve">Flower, Harriet I. 1996. </w:t>
      </w:r>
      <w:r w:rsidRPr="00962A2B">
        <w:rPr>
          <w:rFonts w:ascii="Times New Roman" w:hAnsi="Times New Roman" w:cs="Times New Roman"/>
          <w:i/>
          <w:iCs/>
          <w:sz w:val="20"/>
          <w:szCs w:val="20"/>
        </w:rPr>
        <w:t>Ancestor Masks and Aristocratic Power in Roman Culture</w:t>
      </w:r>
      <w:r w:rsidRPr="00962A2B">
        <w:rPr>
          <w:rFonts w:ascii="Times New Roman" w:hAnsi="Times New Roman" w:cs="Times New Roman"/>
          <w:sz w:val="20"/>
          <w:szCs w:val="20"/>
        </w:rPr>
        <w:t>. Oxford: Clarendon Press.</w:t>
      </w:r>
    </w:p>
    <w:p w:rsidR="00962A2B" w:rsidRPr="00962A2B" w:rsidRDefault="00962A2B" w:rsidP="00962A2B">
      <w:pPr>
        <w:pStyle w:val="Bibliography"/>
        <w:spacing w:after="0" w:line="240" w:lineRule="auto"/>
        <w:rPr>
          <w:rFonts w:ascii="Times New Roman" w:hAnsi="Times New Roman" w:cs="Times New Roman"/>
          <w:sz w:val="20"/>
          <w:szCs w:val="20"/>
        </w:rPr>
      </w:pPr>
      <w:proofErr w:type="spellStart"/>
      <w:r w:rsidRPr="00962A2B">
        <w:rPr>
          <w:rFonts w:ascii="Times New Roman" w:hAnsi="Times New Roman" w:cs="Times New Roman"/>
          <w:sz w:val="20"/>
          <w:szCs w:val="20"/>
        </w:rPr>
        <w:t>Fornara</w:t>
      </w:r>
      <w:proofErr w:type="spellEnd"/>
      <w:r w:rsidRPr="00962A2B">
        <w:rPr>
          <w:rFonts w:ascii="Times New Roman" w:hAnsi="Times New Roman" w:cs="Times New Roman"/>
          <w:sz w:val="20"/>
          <w:szCs w:val="20"/>
        </w:rPr>
        <w:t xml:space="preserve">, C. W. 1983. </w:t>
      </w:r>
      <w:r w:rsidRPr="00962A2B">
        <w:rPr>
          <w:rFonts w:ascii="Times New Roman" w:hAnsi="Times New Roman" w:cs="Times New Roman"/>
          <w:i/>
          <w:iCs/>
          <w:sz w:val="20"/>
          <w:szCs w:val="20"/>
        </w:rPr>
        <w:t>The Nature of History in Ancient Greece and Rome</w:t>
      </w:r>
      <w:r w:rsidRPr="00962A2B">
        <w:rPr>
          <w:rFonts w:ascii="Times New Roman" w:hAnsi="Times New Roman" w:cs="Times New Roman"/>
          <w:sz w:val="20"/>
          <w:szCs w:val="20"/>
        </w:rPr>
        <w:t>. Berkeley: University of California Press.</w:t>
      </w: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r w:rsidRPr="00962A2B">
        <w:rPr>
          <w:rFonts w:ascii="Times New Roman" w:hAnsi="Times New Roman" w:cs="Times New Roman"/>
          <w:sz w:val="20"/>
          <w:szCs w:val="20"/>
        </w:rPr>
        <w:t xml:space="preserve">Gerrish, Jennifer. 2012. “Sallust’s </w:t>
      </w:r>
      <w:r w:rsidRPr="00962A2B">
        <w:rPr>
          <w:rFonts w:ascii="Times New Roman" w:hAnsi="Times New Roman" w:cs="Times New Roman"/>
          <w:i/>
          <w:iCs/>
          <w:sz w:val="20"/>
          <w:szCs w:val="20"/>
        </w:rPr>
        <w:t>Histories</w:t>
      </w:r>
      <w:r w:rsidRPr="00962A2B">
        <w:rPr>
          <w:rFonts w:ascii="Times New Roman" w:hAnsi="Times New Roman" w:cs="Times New Roman"/>
          <w:sz w:val="20"/>
          <w:szCs w:val="20"/>
        </w:rPr>
        <w:t xml:space="preserve"> and </w:t>
      </w:r>
      <w:proofErr w:type="spellStart"/>
      <w:r w:rsidRPr="00962A2B">
        <w:rPr>
          <w:rFonts w:ascii="Times New Roman" w:hAnsi="Times New Roman" w:cs="Times New Roman"/>
          <w:sz w:val="20"/>
          <w:szCs w:val="20"/>
        </w:rPr>
        <w:t>Triumviral</w:t>
      </w:r>
      <w:proofErr w:type="spellEnd"/>
      <w:r w:rsidRPr="00962A2B">
        <w:rPr>
          <w:rFonts w:ascii="Times New Roman" w:hAnsi="Times New Roman" w:cs="Times New Roman"/>
          <w:sz w:val="20"/>
          <w:szCs w:val="20"/>
        </w:rPr>
        <w:t xml:space="preserve"> Historiography”. Dissertation, University of Pennsylvania.</w:t>
      </w: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r w:rsidRPr="00962A2B">
        <w:rPr>
          <w:rFonts w:ascii="Times New Roman" w:hAnsi="Times New Roman" w:cs="Times New Roman"/>
          <w:sz w:val="20"/>
          <w:szCs w:val="20"/>
        </w:rPr>
        <w:t>Grethlein, Jonas. 2006. “</w:t>
      </w:r>
      <w:r w:rsidRPr="00962A2B">
        <w:rPr>
          <w:rFonts w:ascii="Times New Roman" w:hAnsi="Times New Roman" w:cs="Times New Roman"/>
          <w:i/>
          <w:iCs/>
          <w:sz w:val="20"/>
          <w:szCs w:val="20"/>
        </w:rPr>
        <w:t xml:space="preserve">Nam Quid </w:t>
      </w:r>
      <w:proofErr w:type="spellStart"/>
      <w:r w:rsidRPr="00962A2B">
        <w:rPr>
          <w:rFonts w:ascii="Times New Roman" w:hAnsi="Times New Roman" w:cs="Times New Roman"/>
          <w:i/>
          <w:iCs/>
          <w:sz w:val="20"/>
          <w:szCs w:val="20"/>
        </w:rPr>
        <w:t>Ea</w:t>
      </w:r>
      <w:proofErr w:type="spellEnd"/>
      <w:r w:rsidRPr="00962A2B">
        <w:rPr>
          <w:rFonts w:ascii="Times New Roman" w:hAnsi="Times New Roman" w:cs="Times New Roman"/>
          <w:i/>
          <w:iCs/>
          <w:sz w:val="20"/>
          <w:szCs w:val="20"/>
        </w:rPr>
        <w:t xml:space="preserve"> </w:t>
      </w:r>
      <w:proofErr w:type="spellStart"/>
      <w:r w:rsidRPr="00962A2B">
        <w:rPr>
          <w:rFonts w:ascii="Times New Roman" w:hAnsi="Times New Roman" w:cs="Times New Roman"/>
          <w:i/>
          <w:iCs/>
          <w:sz w:val="20"/>
          <w:szCs w:val="20"/>
        </w:rPr>
        <w:t>Memorem</w:t>
      </w:r>
      <w:proofErr w:type="spellEnd"/>
      <w:r w:rsidRPr="00962A2B">
        <w:rPr>
          <w:rFonts w:ascii="Times New Roman" w:hAnsi="Times New Roman" w:cs="Times New Roman"/>
          <w:sz w:val="20"/>
          <w:szCs w:val="20"/>
        </w:rPr>
        <w:t xml:space="preserve">: The Dialectical Relation of </w:t>
      </w:r>
      <w:r w:rsidRPr="00962A2B">
        <w:rPr>
          <w:rFonts w:ascii="Times New Roman" w:hAnsi="Times New Roman" w:cs="Times New Roman"/>
          <w:i/>
          <w:iCs/>
          <w:sz w:val="20"/>
          <w:szCs w:val="20"/>
        </w:rPr>
        <w:t>Res Gestae</w:t>
      </w:r>
      <w:r w:rsidRPr="00962A2B">
        <w:rPr>
          <w:rFonts w:ascii="Times New Roman" w:hAnsi="Times New Roman" w:cs="Times New Roman"/>
          <w:sz w:val="20"/>
          <w:szCs w:val="20"/>
        </w:rPr>
        <w:t xml:space="preserve"> and </w:t>
      </w:r>
      <w:r w:rsidRPr="00962A2B">
        <w:rPr>
          <w:rFonts w:ascii="Times New Roman" w:hAnsi="Times New Roman" w:cs="Times New Roman"/>
          <w:i/>
          <w:iCs/>
          <w:sz w:val="20"/>
          <w:szCs w:val="20"/>
        </w:rPr>
        <w:t xml:space="preserve">Memoria </w:t>
      </w:r>
      <w:proofErr w:type="spellStart"/>
      <w:r w:rsidRPr="00962A2B">
        <w:rPr>
          <w:rFonts w:ascii="Times New Roman" w:hAnsi="Times New Roman" w:cs="Times New Roman"/>
          <w:i/>
          <w:iCs/>
          <w:sz w:val="20"/>
          <w:szCs w:val="20"/>
        </w:rPr>
        <w:t>Rerum</w:t>
      </w:r>
      <w:proofErr w:type="spellEnd"/>
      <w:r w:rsidRPr="00962A2B">
        <w:rPr>
          <w:rFonts w:ascii="Times New Roman" w:hAnsi="Times New Roman" w:cs="Times New Roman"/>
          <w:i/>
          <w:iCs/>
          <w:sz w:val="20"/>
          <w:szCs w:val="20"/>
        </w:rPr>
        <w:t xml:space="preserve"> </w:t>
      </w:r>
      <w:proofErr w:type="spellStart"/>
      <w:r w:rsidRPr="00962A2B">
        <w:rPr>
          <w:rFonts w:ascii="Times New Roman" w:hAnsi="Times New Roman" w:cs="Times New Roman"/>
          <w:i/>
          <w:iCs/>
          <w:sz w:val="20"/>
          <w:szCs w:val="20"/>
        </w:rPr>
        <w:t>Gestarum</w:t>
      </w:r>
      <w:proofErr w:type="spellEnd"/>
      <w:r w:rsidRPr="00962A2B">
        <w:rPr>
          <w:rFonts w:ascii="Times New Roman" w:hAnsi="Times New Roman" w:cs="Times New Roman"/>
          <w:sz w:val="20"/>
          <w:szCs w:val="20"/>
        </w:rPr>
        <w:t xml:space="preserve"> in Sallust’s </w:t>
      </w:r>
      <w:r w:rsidRPr="00962A2B">
        <w:rPr>
          <w:rFonts w:ascii="Times New Roman" w:hAnsi="Times New Roman" w:cs="Times New Roman"/>
          <w:i/>
          <w:iCs/>
          <w:sz w:val="20"/>
          <w:szCs w:val="20"/>
        </w:rPr>
        <w:t>Bellum Jugurthinum</w:t>
      </w:r>
      <w:r w:rsidRPr="00962A2B">
        <w:rPr>
          <w:rFonts w:ascii="Times New Roman" w:hAnsi="Times New Roman" w:cs="Times New Roman"/>
          <w:sz w:val="20"/>
          <w:szCs w:val="20"/>
        </w:rPr>
        <w:t xml:space="preserve">.” </w:t>
      </w:r>
      <w:r w:rsidRPr="00962A2B">
        <w:rPr>
          <w:rFonts w:ascii="Times New Roman" w:hAnsi="Times New Roman" w:cs="Times New Roman"/>
          <w:i/>
          <w:iCs/>
          <w:sz w:val="20"/>
          <w:szCs w:val="20"/>
        </w:rPr>
        <w:t>CQ</w:t>
      </w:r>
      <w:r w:rsidRPr="00962A2B">
        <w:rPr>
          <w:rFonts w:ascii="Times New Roman" w:hAnsi="Times New Roman" w:cs="Times New Roman"/>
          <w:sz w:val="20"/>
          <w:szCs w:val="20"/>
        </w:rPr>
        <w:t xml:space="preserve"> 56: 135–48.</w:t>
      </w: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r w:rsidRPr="00962A2B">
        <w:rPr>
          <w:rFonts w:ascii="Times New Roman" w:hAnsi="Times New Roman" w:cs="Times New Roman"/>
          <w:sz w:val="20"/>
          <w:szCs w:val="20"/>
        </w:rPr>
        <w:t xml:space="preserve">Gunderson, Erik. 2000. “The History of the Mind and the Philosophy of History in Sallust’s </w:t>
      </w:r>
      <w:r w:rsidRPr="00962A2B">
        <w:rPr>
          <w:rFonts w:ascii="Times New Roman" w:hAnsi="Times New Roman" w:cs="Times New Roman"/>
          <w:i/>
          <w:iCs/>
          <w:sz w:val="20"/>
          <w:szCs w:val="20"/>
        </w:rPr>
        <w:t>Bellum Catilinae</w:t>
      </w:r>
      <w:r w:rsidRPr="00962A2B">
        <w:rPr>
          <w:rFonts w:ascii="Times New Roman" w:hAnsi="Times New Roman" w:cs="Times New Roman"/>
          <w:sz w:val="20"/>
          <w:szCs w:val="20"/>
        </w:rPr>
        <w:t xml:space="preserve">.” </w:t>
      </w:r>
      <w:r w:rsidRPr="00962A2B">
        <w:rPr>
          <w:rFonts w:ascii="Times New Roman" w:hAnsi="Times New Roman" w:cs="Times New Roman"/>
          <w:i/>
          <w:iCs/>
          <w:sz w:val="20"/>
          <w:szCs w:val="20"/>
        </w:rPr>
        <w:t>Ramus</w:t>
      </w:r>
      <w:r w:rsidRPr="00962A2B">
        <w:rPr>
          <w:rFonts w:ascii="Times New Roman" w:hAnsi="Times New Roman" w:cs="Times New Roman"/>
          <w:sz w:val="20"/>
          <w:szCs w:val="20"/>
        </w:rPr>
        <w:t xml:space="preserve"> 29: 85–126.</w:t>
      </w:r>
    </w:p>
    <w:p w:rsidR="00962A2B" w:rsidRPr="00962A2B" w:rsidRDefault="00962A2B" w:rsidP="00962A2B">
      <w:pPr>
        <w:pStyle w:val="Bibliography"/>
        <w:spacing w:after="0" w:line="240" w:lineRule="auto"/>
        <w:rPr>
          <w:rFonts w:ascii="Times New Roman" w:hAnsi="Times New Roman" w:cs="Times New Roman"/>
          <w:sz w:val="20"/>
          <w:szCs w:val="20"/>
        </w:rPr>
      </w:pPr>
      <w:r w:rsidRPr="00962A2B">
        <w:rPr>
          <w:rFonts w:ascii="Times New Roman" w:hAnsi="Times New Roman" w:cs="Times New Roman"/>
          <w:sz w:val="20"/>
          <w:szCs w:val="20"/>
        </w:rPr>
        <w:t xml:space="preserve">Holroyd, M. 1928. “The Jugurthine War: Was Marius or Metellus the Real Victor?” </w:t>
      </w:r>
      <w:r w:rsidRPr="00962A2B">
        <w:rPr>
          <w:rFonts w:ascii="Times New Roman" w:hAnsi="Times New Roman" w:cs="Times New Roman"/>
          <w:i/>
          <w:iCs/>
          <w:sz w:val="20"/>
          <w:szCs w:val="20"/>
        </w:rPr>
        <w:t>JRS</w:t>
      </w:r>
      <w:r w:rsidRPr="00962A2B">
        <w:rPr>
          <w:rFonts w:ascii="Times New Roman" w:hAnsi="Times New Roman" w:cs="Times New Roman"/>
          <w:sz w:val="20"/>
          <w:szCs w:val="20"/>
        </w:rPr>
        <w:t xml:space="preserve"> 18: 1–20.</w:t>
      </w: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r w:rsidRPr="00962A2B">
        <w:rPr>
          <w:rFonts w:ascii="Times New Roman" w:hAnsi="Times New Roman" w:cs="Times New Roman"/>
          <w:sz w:val="20"/>
          <w:szCs w:val="20"/>
        </w:rPr>
        <w:t xml:space="preserve">Kraus, Christina </w:t>
      </w:r>
      <w:proofErr w:type="spellStart"/>
      <w:r w:rsidRPr="00962A2B">
        <w:rPr>
          <w:rFonts w:ascii="Times New Roman" w:hAnsi="Times New Roman" w:cs="Times New Roman"/>
          <w:sz w:val="20"/>
          <w:szCs w:val="20"/>
        </w:rPr>
        <w:t>Shuttleworth</w:t>
      </w:r>
      <w:proofErr w:type="spellEnd"/>
      <w:r w:rsidRPr="00962A2B">
        <w:rPr>
          <w:rFonts w:ascii="Times New Roman" w:hAnsi="Times New Roman" w:cs="Times New Roman"/>
          <w:sz w:val="20"/>
          <w:szCs w:val="20"/>
        </w:rPr>
        <w:t xml:space="preserve">. 2005. “From </w:t>
      </w:r>
      <w:r w:rsidRPr="00962A2B">
        <w:rPr>
          <w:rFonts w:ascii="Times New Roman" w:hAnsi="Times New Roman" w:cs="Times New Roman"/>
          <w:i/>
          <w:iCs/>
          <w:sz w:val="20"/>
          <w:szCs w:val="20"/>
        </w:rPr>
        <w:t>Exempla</w:t>
      </w:r>
      <w:r w:rsidRPr="00962A2B">
        <w:rPr>
          <w:rFonts w:ascii="Times New Roman" w:hAnsi="Times New Roman" w:cs="Times New Roman"/>
          <w:sz w:val="20"/>
          <w:szCs w:val="20"/>
        </w:rPr>
        <w:t xml:space="preserve"> to </w:t>
      </w:r>
      <w:r w:rsidRPr="00962A2B">
        <w:rPr>
          <w:rFonts w:ascii="Times New Roman" w:hAnsi="Times New Roman" w:cs="Times New Roman"/>
          <w:i/>
          <w:iCs/>
          <w:sz w:val="20"/>
          <w:szCs w:val="20"/>
        </w:rPr>
        <w:t>Exemplar</w:t>
      </w:r>
      <w:r w:rsidRPr="00962A2B">
        <w:rPr>
          <w:rFonts w:ascii="Times New Roman" w:hAnsi="Times New Roman" w:cs="Times New Roman"/>
          <w:sz w:val="20"/>
          <w:szCs w:val="20"/>
        </w:rPr>
        <w:t xml:space="preserve">? Writing History around the Emperor in Imperial Rome.” In </w:t>
      </w:r>
      <w:r w:rsidRPr="00962A2B">
        <w:rPr>
          <w:rFonts w:ascii="Times New Roman" w:hAnsi="Times New Roman" w:cs="Times New Roman"/>
          <w:i/>
          <w:iCs/>
          <w:sz w:val="20"/>
          <w:szCs w:val="20"/>
        </w:rPr>
        <w:t>Flavius Josephus and Flavian Rome</w:t>
      </w:r>
      <w:r w:rsidRPr="00962A2B">
        <w:rPr>
          <w:rFonts w:ascii="Times New Roman" w:hAnsi="Times New Roman" w:cs="Times New Roman"/>
          <w:sz w:val="20"/>
          <w:szCs w:val="20"/>
        </w:rPr>
        <w:t>, ed. by Jonathan Edmondson, Steve Mason, and James Rives, 181–200. Oxford; New York: Oxford University Press.</w:t>
      </w: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r w:rsidRPr="00962A2B">
        <w:rPr>
          <w:rFonts w:ascii="Times New Roman" w:hAnsi="Times New Roman" w:cs="Times New Roman"/>
          <w:sz w:val="20"/>
          <w:szCs w:val="20"/>
        </w:rPr>
        <w:t xml:space="preserve">Kraus, Christina </w:t>
      </w:r>
      <w:proofErr w:type="spellStart"/>
      <w:r w:rsidRPr="00962A2B">
        <w:rPr>
          <w:rFonts w:ascii="Times New Roman" w:hAnsi="Times New Roman" w:cs="Times New Roman"/>
          <w:sz w:val="20"/>
          <w:szCs w:val="20"/>
        </w:rPr>
        <w:t>Shuttleworth</w:t>
      </w:r>
      <w:proofErr w:type="spellEnd"/>
      <w:r w:rsidRPr="00962A2B">
        <w:rPr>
          <w:rFonts w:ascii="Times New Roman" w:hAnsi="Times New Roman" w:cs="Times New Roman"/>
          <w:sz w:val="20"/>
          <w:szCs w:val="20"/>
        </w:rPr>
        <w:t xml:space="preserve">, and A. J. Woodman. 1997. </w:t>
      </w:r>
      <w:r w:rsidRPr="00962A2B">
        <w:rPr>
          <w:rFonts w:ascii="Times New Roman" w:hAnsi="Times New Roman" w:cs="Times New Roman"/>
          <w:i/>
          <w:iCs/>
          <w:sz w:val="20"/>
          <w:szCs w:val="20"/>
        </w:rPr>
        <w:t>Latin Historians</w:t>
      </w:r>
      <w:r w:rsidRPr="00962A2B">
        <w:rPr>
          <w:rFonts w:ascii="Times New Roman" w:hAnsi="Times New Roman" w:cs="Times New Roman"/>
          <w:sz w:val="20"/>
          <w:szCs w:val="20"/>
        </w:rPr>
        <w:t>. Cambridge: Cambridge University Press.</w:t>
      </w: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proofErr w:type="spellStart"/>
      <w:r w:rsidRPr="00962A2B">
        <w:rPr>
          <w:rFonts w:ascii="Times New Roman" w:hAnsi="Times New Roman" w:cs="Times New Roman"/>
          <w:sz w:val="20"/>
          <w:szCs w:val="20"/>
        </w:rPr>
        <w:t>Luce</w:t>
      </w:r>
      <w:proofErr w:type="spellEnd"/>
      <w:r w:rsidRPr="00962A2B">
        <w:rPr>
          <w:rFonts w:ascii="Times New Roman" w:hAnsi="Times New Roman" w:cs="Times New Roman"/>
          <w:sz w:val="20"/>
          <w:szCs w:val="20"/>
        </w:rPr>
        <w:t xml:space="preserve">, T. J. 1991. “Tacitus on ‘History’s Highest Function’: </w:t>
      </w:r>
      <w:proofErr w:type="spellStart"/>
      <w:r w:rsidRPr="00962A2B">
        <w:rPr>
          <w:rFonts w:ascii="Times New Roman" w:hAnsi="Times New Roman" w:cs="Times New Roman"/>
          <w:i/>
          <w:iCs/>
          <w:sz w:val="20"/>
          <w:szCs w:val="20"/>
        </w:rPr>
        <w:t>praecipuum</w:t>
      </w:r>
      <w:proofErr w:type="spellEnd"/>
      <w:r w:rsidRPr="00962A2B">
        <w:rPr>
          <w:rFonts w:ascii="Times New Roman" w:hAnsi="Times New Roman" w:cs="Times New Roman"/>
          <w:i/>
          <w:iCs/>
          <w:sz w:val="20"/>
          <w:szCs w:val="20"/>
        </w:rPr>
        <w:t xml:space="preserve"> </w:t>
      </w:r>
      <w:proofErr w:type="spellStart"/>
      <w:r w:rsidR="002B26CB">
        <w:rPr>
          <w:rFonts w:ascii="Times New Roman" w:hAnsi="Times New Roman" w:cs="Times New Roman"/>
          <w:i/>
          <w:iCs/>
          <w:sz w:val="20"/>
          <w:szCs w:val="20"/>
        </w:rPr>
        <w:t>m</w:t>
      </w:r>
      <w:r w:rsidRPr="00962A2B">
        <w:rPr>
          <w:rFonts w:ascii="Times New Roman" w:hAnsi="Times New Roman" w:cs="Times New Roman"/>
          <w:i/>
          <w:iCs/>
          <w:sz w:val="20"/>
          <w:szCs w:val="20"/>
        </w:rPr>
        <w:t>unus</w:t>
      </w:r>
      <w:proofErr w:type="spellEnd"/>
      <w:r w:rsidRPr="00962A2B">
        <w:rPr>
          <w:rFonts w:ascii="Times New Roman" w:hAnsi="Times New Roman" w:cs="Times New Roman"/>
          <w:i/>
          <w:iCs/>
          <w:sz w:val="20"/>
          <w:szCs w:val="20"/>
        </w:rPr>
        <w:t xml:space="preserve"> </w:t>
      </w:r>
      <w:proofErr w:type="spellStart"/>
      <w:r w:rsidR="002B26CB">
        <w:rPr>
          <w:rFonts w:ascii="Times New Roman" w:hAnsi="Times New Roman" w:cs="Times New Roman"/>
          <w:i/>
          <w:iCs/>
          <w:sz w:val="20"/>
          <w:szCs w:val="20"/>
        </w:rPr>
        <w:t>a</w:t>
      </w:r>
      <w:r w:rsidRPr="00962A2B">
        <w:rPr>
          <w:rFonts w:ascii="Times New Roman" w:hAnsi="Times New Roman" w:cs="Times New Roman"/>
          <w:i/>
          <w:iCs/>
          <w:sz w:val="20"/>
          <w:szCs w:val="20"/>
        </w:rPr>
        <w:t>nnalium</w:t>
      </w:r>
      <w:proofErr w:type="spellEnd"/>
      <w:r w:rsidRPr="00962A2B">
        <w:rPr>
          <w:rFonts w:ascii="Times New Roman" w:hAnsi="Times New Roman" w:cs="Times New Roman"/>
          <w:sz w:val="20"/>
          <w:szCs w:val="20"/>
        </w:rPr>
        <w:t xml:space="preserve"> (</w:t>
      </w:r>
      <w:r w:rsidRPr="00962A2B">
        <w:rPr>
          <w:rFonts w:ascii="Times New Roman" w:hAnsi="Times New Roman" w:cs="Times New Roman"/>
          <w:i/>
          <w:iCs/>
          <w:sz w:val="20"/>
          <w:szCs w:val="20"/>
        </w:rPr>
        <w:t>Ann</w:t>
      </w:r>
      <w:r w:rsidRPr="00962A2B">
        <w:rPr>
          <w:rFonts w:ascii="Times New Roman" w:hAnsi="Times New Roman" w:cs="Times New Roman"/>
          <w:sz w:val="20"/>
          <w:szCs w:val="20"/>
        </w:rPr>
        <w:t xml:space="preserve">. 3.65).” Ed by. H. </w:t>
      </w:r>
      <w:proofErr w:type="spellStart"/>
      <w:r w:rsidRPr="00962A2B">
        <w:rPr>
          <w:rFonts w:ascii="Times New Roman" w:hAnsi="Times New Roman" w:cs="Times New Roman"/>
          <w:sz w:val="20"/>
          <w:szCs w:val="20"/>
        </w:rPr>
        <w:t>Temporini</w:t>
      </w:r>
      <w:proofErr w:type="spellEnd"/>
      <w:r w:rsidRPr="00962A2B">
        <w:rPr>
          <w:rFonts w:ascii="Times New Roman" w:hAnsi="Times New Roman" w:cs="Times New Roman"/>
          <w:sz w:val="20"/>
          <w:szCs w:val="20"/>
        </w:rPr>
        <w:t xml:space="preserve"> and W. </w:t>
      </w:r>
      <w:proofErr w:type="spellStart"/>
      <w:r w:rsidRPr="00962A2B">
        <w:rPr>
          <w:rFonts w:ascii="Times New Roman" w:hAnsi="Times New Roman" w:cs="Times New Roman"/>
          <w:sz w:val="20"/>
          <w:szCs w:val="20"/>
        </w:rPr>
        <w:t>Haase</w:t>
      </w:r>
      <w:proofErr w:type="spellEnd"/>
      <w:r w:rsidRPr="00962A2B">
        <w:rPr>
          <w:rFonts w:ascii="Times New Roman" w:hAnsi="Times New Roman" w:cs="Times New Roman"/>
          <w:sz w:val="20"/>
          <w:szCs w:val="20"/>
        </w:rPr>
        <w:t xml:space="preserve">. </w:t>
      </w:r>
      <w:r w:rsidRPr="00962A2B">
        <w:rPr>
          <w:rFonts w:ascii="Times New Roman" w:hAnsi="Times New Roman" w:cs="Times New Roman"/>
          <w:i/>
          <w:iCs/>
          <w:sz w:val="20"/>
          <w:szCs w:val="20"/>
        </w:rPr>
        <w:t>ANRW</w:t>
      </w:r>
      <w:r w:rsidRPr="00962A2B">
        <w:rPr>
          <w:rFonts w:ascii="Times New Roman" w:hAnsi="Times New Roman" w:cs="Times New Roman"/>
          <w:sz w:val="20"/>
          <w:szCs w:val="20"/>
        </w:rPr>
        <w:t xml:space="preserve"> 2 (33.4): 2904–927.</w:t>
      </w: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r w:rsidRPr="00962A2B">
        <w:rPr>
          <w:rFonts w:ascii="Times New Roman" w:hAnsi="Times New Roman" w:cs="Times New Roman"/>
          <w:sz w:val="20"/>
          <w:szCs w:val="20"/>
        </w:rPr>
        <w:t xml:space="preserve">McConaghy, Mary Lee </w:t>
      </w:r>
      <w:proofErr w:type="spellStart"/>
      <w:r w:rsidRPr="00962A2B">
        <w:rPr>
          <w:rFonts w:ascii="Times New Roman" w:hAnsi="Times New Roman" w:cs="Times New Roman"/>
          <w:sz w:val="20"/>
          <w:szCs w:val="20"/>
        </w:rPr>
        <w:t>Sivess</w:t>
      </w:r>
      <w:proofErr w:type="spellEnd"/>
      <w:r w:rsidRPr="00962A2B">
        <w:rPr>
          <w:rFonts w:ascii="Times New Roman" w:hAnsi="Times New Roman" w:cs="Times New Roman"/>
          <w:sz w:val="20"/>
          <w:szCs w:val="20"/>
        </w:rPr>
        <w:t>. 1973. “Sallust and the Literary Portrayal of Character”. St. Louis: Washington University.</w:t>
      </w:r>
    </w:p>
    <w:p w:rsidR="00962A2B" w:rsidRPr="00962A2B" w:rsidRDefault="00962A2B" w:rsidP="00962A2B">
      <w:pPr>
        <w:pStyle w:val="Bibliography"/>
        <w:spacing w:after="0" w:line="240" w:lineRule="auto"/>
        <w:rPr>
          <w:rFonts w:ascii="Times New Roman" w:hAnsi="Times New Roman" w:cs="Times New Roman"/>
          <w:sz w:val="20"/>
          <w:szCs w:val="20"/>
        </w:rPr>
      </w:pPr>
      <w:r w:rsidRPr="00962A2B">
        <w:rPr>
          <w:rFonts w:ascii="Times New Roman" w:hAnsi="Times New Roman" w:cs="Times New Roman"/>
          <w:sz w:val="20"/>
          <w:szCs w:val="20"/>
        </w:rPr>
        <w:t xml:space="preserve">McGushin, Patrick, ed. 1977. </w:t>
      </w:r>
      <w:r w:rsidRPr="00962A2B">
        <w:rPr>
          <w:rFonts w:ascii="Times New Roman" w:hAnsi="Times New Roman" w:cs="Times New Roman"/>
          <w:i/>
          <w:iCs/>
          <w:sz w:val="20"/>
          <w:szCs w:val="20"/>
        </w:rPr>
        <w:t xml:space="preserve">C. </w:t>
      </w:r>
      <w:proofErr w:type="spellStart"/>
      <w:r w:rsidRPr="00962A2B">
        <w:rPr>
          <w:rFonts w:ascii="Times New Roman" w:hAnsi="Times New Roman" w:cs="Times New Roman"/>
          <w:i/>
          <w:iCs/>
          <w:sz w:val="20"/>
          <w:szCs w:val="20"/>
        </w:rPr>
        <w:t>Sallustius</w:t>
      </w:r>
      <w:proofErr w:type="spellEnd"/>
      <w:r w:rsidRPr="00962A2B">
        <w:rPr>
          <w:rFonts w:ascii="Times New Roman" w:hAnsi="Times New Roman" w:cs="Times New Roman"/>
          <w:i/>
          <w:iCs/>
          <w:sz w:val="20"/>
          <w:szCs w:val="20"/>
        </w:rPr>
        <w:t xml:space="preserve"> </w:t>
      </w:r>
      <w:proofErr w:type="spellStart"/>
      <w:r w:rsidRPr="00962A2B">
        <w:rPr>
          <w:rFonts w:ascii="Times New Roman" w:hAnsi="Times New Roman" w:cs="Times New Roman"/>
          <w:i/>
          <w:iCs/>
          <w:sz w:val="20"/>
          <w:szCs w:val="20"/>
        </w:rPr>
        <w:t>Crispus</w:t>
      </w:r>
      <w:proofErr w:type="spellEnd"/>
      <w:r w:rsidRPr="00962A2B">
        <w:rPr>
          <w:rFonts w:ascii="Times New Roman" w:hAnsi="Times New Roman" w:cs="Times New Roman"/>
          <w:i/>
          <w:iCs/>
          <w:sz w:val="20"/>
          <w:szCs w:val="20"/>
        </w:rPr>
        <w:t>, Bellum Catilinae: A Commentary</w:t>
      </w:r>
      <w:r w:rsidRPr="00962A2B">
        <w:rPr>
          <w:rFonts w:ascii="Times New Roman" w:hAnsi="Times New Roman" w:cs="Times New Roman"/>
          <w:sz w:val="20"/>
          <w:szCs w:val="20"/>
        </w:rPr>
        <w:t>. Leiden: Brill.</w:t>
      </w: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r w:rsidRPr="00962A2B">
        <w:rPr>
          <w:rFonts w:ascii="Times New Roman" w:hAnsi="Times New Roman" w:cs="Times New Roman"/>
          <w:sz w:val="20"/>
          <w:szCs w:val="20"/>
        </w:rPr>
        <w:t xml:space="preserve">Montgomery, P. Andrew. 2013. “Sallust’s Scipio: A Preview of Aristocratic </w:t>
      </w:r>
      <w:r w:rsidRPr="00962A2B">
        <w:rPr>
          <w:rFonts w:ascii="Times New Roman" w:hAnsi="Times New Roman" w:cs="Times New Roman"/>
          <w:i/>
          <w:iCs/>
          <w:sz w:val="20"/>
          <w:szCs w:val="20"/>
        </w:rPr>
        <w:t>Superbia</w:t>
      </w:r>
      <w:r w:rsidRPr="00962A2B">
        <w:rPr>
          <w:rFonts w:ascii="Times New Roman" w:hAnsi="Times New Roman" w:cs="Times New Roman"/>
          <w:sz w:val="20"/>
          <w:szCs w:val="20"/>
        </w:rPr>
        <w:t xml:space="preserve"> (Sal. </w:t>
      </w:r>
      <w:r w:rsidRPr="00962A2B">
        <w:rPr>
          <w:rFonts w:ascii="Times New Roman" w:hAnsi="Times New Roman" w:cs="Times New Roman"/>
          <w:i/>
          <w:iCs/>
          <w:sz w:val="20"/>
          <w:szCs w:val="20"/>
        </w:rPr>
        <w:t>Jug.</w:t>
      </w:r>
      <w:r w:rsidRPr="00962A2B">
        <w:rPr>
          <w:rFonts w:ascii="Times New Roman" w:hAnsi="Times New Roman" w:cs="Times New Roman"/>
          <w:sz w:val="20"/>
          <w:szCs w:val="20"/>
        </w:rPr>
        <w:t xml:space="preserve"> 7.2–9.2).” </w:t>
      </w:r>
      <w:r w:rsidRPr="00962A2B">
        <w:rPr>
          <w:rFonts w:ascii="Times New Roman" w:hAnsi="Times New Roman" w:cs="Times New Roman"/>
          <w:i/>
          <w:iCs/>
          <w:sz w:val="20"/>
          <w:szCs w:val="20"/>
        </w:rPr>
        <w:t>CJ</w:t>
      </w:r>
      <w:r w:rsidRPr="00962A2B">
        <w:rPr>
          <w:rFonts w:ascii="Times New Roman" w:hAnsi="Times New Roman" w:cs="Times New Roman"/>
          <w:sz w:val="20"/>
          <w:szCs w:val="20"/>
        </w:rPr>
        <w:t xml:space="preserve"> 109: 21–40.</w:t>
      </w:r>
    </w:p>
    <w:p w:rsidR="00962A2B" w:rsidRPr="00962A2B" w:rsidRDefault="00962A2B" w:rsidP="00962A2B">
      <w:pPr>
        <w:pStyle w:val="Bibliography"/>
        <w:spacing w:after="0" w:line="240" w:lineRule="auto"/>
        <w:rPr>
          <w:rFonts w:ascii="Times New Roman" w:hAnsi="Times New Roman" w:cs="Times New Roman"/>
          <w:sz w:val="20"/>
          <w:szCs w:val="20"/>
        </w:rPr>
      </w:pPr>
      <w:r w:rsidRPr="00962A2B">
        <w:rPr>
          <w:rFonts w:ascii="Times New Roman" w:hAnsi="Times New Roman" w:cs="Times New Roman"/>
          <w:sz w:val="20"/>
          <w:szCs w:val="20"/>
        </w:rPr>
        <w:t xml:space="preserve">Parker, Victor L. 2001. “Sallust and the Victor of the Jugurthine War.” </w:t>
      </w:r>
      <w:proofErr w:type="spellStart"/>
      <w:r w:rsidRPr="00962A2B">
        <w:rPr>
          <w:rFonts w:ascii="Times New Roman" w:hAnsi="Times New Roman" w:cs="Times New Roman"/>
          <w:i/>
          <w:iCs/>
          <w:sz w:val="20"/>
          <w:szCs w:val="20"/>
        </w:rPr>
        <w:t>Tyche</w:t>
      </w:r>
      <w:proofErr w:type="spellEnd"/>
      <w:r w:rsidRPr="00962A2B">
        <w:rPr>
          <w:rFonts w:ascii="Times New Roman" w:hAnsi="Times New Roman" w:cs="Times New Roman"/>
          <w:sz w:val="20"/>
          <w:szCs w:val="20"/>
        </w:rPr>
        <w:t xml:space="preserve"> 16: 111–125.</w:t>
      </w:r>
    </w:p>
    <w:p w:rsidR="00962A2B" w:rsidRPr="00962A2B" w:rsidRDefault="00962A2B" w:rsidP="00962A2B">
      <w:pPr>
        <w:pStyle w:val="Bibliography"/>
        <w:spacing w:after="0" w:line="240" w:lineRule="auto"/>
        <w:rPr>
          <w:rFonts w:ascii="Times New Roman" w:hAnsi="Times New Roman" w:cs="Times New Roman"/>
          <w:sz w:val="20"/>
          <w:szCs w:val="20"/>
        </w:rPr>
      </w:pPr>
      <w:r w:rsidRPr="00962A2B">
        <w:rPr>
          <w:rFonts w:ascii="Times New Roman" w:hAnsi="Times New Roman" w:cs="Times New Roman"/>
          <w:sz w:val="20"/>
          <w:szCs w:val="20"/>
        </w:rPr>
        <w:t xml:space="preserve">Paul, G. M. 1984. </w:t>
      </w:r>
      <w:r w:rsidRPr="00962A2B">
        <w:rPr>
          <w:rFonts w:ascii="Times New Roman" w:hAnsi="Times New Roman" w:cs="Times New Roman"/>
          <w:i/>
          <w:iCs/>
          <w:sz w:val="20"/>
          <w:szCs w:val="20"/>
        </w:rPr>
        <w:t xml:space="preserve">A Historical Commentary on Sallust’s </w:t>
      </w:r>
      <w:r w:rsidRPr="00962A2B">
        <w:rPr>
          <w:rFonts w:ascii="Times New Roman" w:hAnsi="Times New Roman" w:cs="Times New Roman"/>
          <w:sz w:val="20"/>
          <w:szCs w:val="20"/>
        </w:rPr>
        <w:t>Bellum Jugurthinum. Liverpool: F. Cairns.</w:t>
      </w: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proofErr w:type="spellStart"/>
      <w:r w:rsidRPr="00962A2B">
        <w:rPr>
          <w:rFonts w:ascii="Times New Roman" w:hAnsi="Times New Roman" w:cs="Times New Roman"/>
          <w:sz w:val="20"/>
          <w:szCs w:val="20"/>
        </w:rPr>
        <w:t>Rigolot</w:t>
      </w:r>
      <w:proofErr w:type="spellEnd"/>
      <w:r w:rsidRPr="00962A2B">
        <w:rPr>
          <w:rFonts w:ascii="Times New Roman" w:hAnsi="Times New Roman" w:cs="Times New Roman"/>
          <w:sz w:val="20"/>
          <w:szCs w:val="20"/>
        </w:rPr>
        <w:t xml:space="preserve">, François. 1998. “The Renaissance Crisis of Exemplarity.” </w:t>
      </w:r>
      <w:r w:rsidRPr="00962A2B">
        <w:rPr>
          <w:rFonts w:ascii="Times New Roman" w:hAnsi="Times New Roman" w:cs="Times New Roman"/>
          <w:i/>
          <w:iCs/>
          <w:sz w:val="20"/>
          <w:szCs w:val="20"/>
        </w:rPr>
        <w:t>Journal of the History of Ideas</w:t>
      </w:r>
      <w:r w:rsidRPr="00962A2B">
        <w:rPr>
          <w:rFonts w:ascii="Times New Roman" w:hAnsi="Times New Roman" w:cs="Times New Roman"/>
          <w:sz w:val="20"/>
          <w:szCs w:val="20"/>
        </w:rPr>
        <w:t xml:space="preserve"> 59: 557–63.</w:t>
      </w: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r w:rsidRPr="00962A2B">
        <w:rPr>
          <w:rFonts w:ascii="Times New Roman" w:hAnsi="Times New Roman" w:cs="Times New Roman"/>
          <w:sz w:val="20"/>
          <w:szCs w:val="20"/>
        </w:rPr>
        <w:t xml:space="preserve">Roller, Matthew B. 2004. “Exemplarity in Roman Culture: The Cases of Horatius </w:t>
      </w:r>
      <w:proofErr w:type="spellStart"/>
      <w:r w:rsidRPr="00962A2B">
        <w:rPr>
          <w:rFonts w:ascii="Times New Roman" w:hAnsi="Times New Roman" w:cs="Times New Roman"/>
          <w:sz w:val="20"/>
          <w:szCs w:val="20"/>
        </w:rPr>
        <w:t>Cocles</w:t>
      </w:r>
      <w:proofErr w:type="spellEnd"/>
      <w:r w:rsidRPr="00962A2B">
        <w:rPr>
          <w:rFonts w:ascii="Times New Roman" w:hAnsi="Times New Roman" w:cs="Times New Roman"/>
          <w:sz w:val="20"/>
          <w:szCs w:val="20"/>
        </w:rPr>
        <w:t xml:space="preserve"> and </w:t>
      </w:r>
      <w:proofErr w:type="spellStart"/>
      <w:r w:rsidRPr="00962A2B">
        <w:rPr>
          <w:rFonts w:ascii="Times New Roman" w:hAnsi="Times New Roman" w:cs="Times New Roman"/>
          <w:sz w:val="20"/>
          <w:szCs w:val="20"/>
        </w:rPr>
        <w:t>Cloelia</w:t>
      </w:r>
      <w:proofErr w:type="spellEnd"/>
      <w:r w:rsidRPr="00962A2B">
        <w:rPr>
          <w:rFonts w:ascii="Times New Roman" w:hAnsi="Times New Roman" w:cs="Times New Roman"/>
          <w:sz w:val="20"/>
          <w:szCs w:val="20"/>
        </w:rPr>
        <w:t xml:space="preserve">.” </w:t>
      </w:r>
      <w:proofErr w:type="spellStart"/>
      <w:r w:rsidRPr="00962A2B">
        <w:rPr>
          <w:rFonts w:ascii="Times New Roman" w:hAnsi="Times New Roman" w:cs="Times New Roman"/>
          <w:i/>
          <w:iCs/>
          <w:sz w:val="20"/>
          <w:szCs w:val="20"/>
        </w:rPr>
        <w:t>CPh</w:t>
      </w:r>
      <w:proofErr w:type="spellEnd"/>
      <w:r w:rsidRPr="00962A2B">
        <w:rPr>
          <w:rFonts w:ascii="Times New Roman" w:hAnsi="Times New Roman" w:cs="Times New Roman"/>
          <w:sz w:val="20"/>
          <w:szCs w:val="20"/>
        </w:rPr>
        <w:t xml:space="preserve"> 99: 1–56.</w:t>
      </w: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r w:rsidRPr="00962A2B">
        <w:rPr>
          <w:rFonts w:ascii="Times New Roman" w:hAnsi="Times New Roman" w:cs="Times New Roman"/>
          <w:sz w:val="20"/>
          <w:szCs w:val="20"/>
        </w:rPr>
        <w:t xml:space="preserve">———. 2009. “The Exemplary Past in Roman Historiography and Culture.” In </w:t>
      </w:r>
      <w:r w:rsidRPr="00962A2B">
        <w:rPr>
          <w:rFonts w:ascii="Times New Roman" w:hAnsi="Times New Roman" w:cs="Times New Roman"/>
          <w:i/>
          <w:iCs/>
          <w:sz w:val="20"/>
          <w:szCs w:val="20"/>
        </w:rPr>
        <w:t>The Cambridge Companion to the Roman Historians</w:t>
      </w:r>
      <w:r w:rsidRPr="00962A2B">
        <w:rPr>
          <w:rFonts w:ascii="Times New Roman" w:hAnsi="Times New Roman" w:cs="Times New Roman"/>
          <w:sz w:val="20"/>
          <w:szCs w:val="20"/>
        </w:rPr>
        <w:t xml:space="preserve">, ed. by Andrew </w:t>
      </w:r>
      <w:proofErr w:type="spellStart"/>
      <w:r w:rsidRPr="00962A2B">
        <w:rPr>
          <w:rFonts w:ascii="Times New Roman" w:hAnsi="Times New Roman" w:cs="Times New Roman"/>
          <w:sz w:val="20"/>
          <w:szCs w:val="20"/>
        </w:rPr>
        <w:t>Feldherr</w:t>
      </w:r>
      <w:proofErr w:type="spellEnd"/>
      <w:r w:rsidRPr="00962A2B">
        <w:rPr>
          <w:rFonts w:ascii="Times New Roman" w:hAnsi="Times New Roman" w:cs="Times New Roman"/>
          <w:sz w:val="20"/>
          <w:szCs w:val="20"/>
        </w:rPr>
        <w:t>, 214–30. Cambridge: Cambridge University Press.</w:t>
      </w: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proofErr w:type="spellStart"/>
      <w:r w:rsidRPr="00962A2B">
        <w:rPr>
          <w:rFonts w:ascii="Times New Roman" w:hAnsi="Times New Roman" w:cs="Times New Roman"/>
          <w:sz w:val="20"/>
          <w:szCs w:val="20"/>
        </w:rPr>
        <w:t>Stierle</w:t>
      </w:r>
      <w:proofErr w:type="spellEnd"/>
      <w:r w:rsidRPr="00962A2B">
        <w:rPr>
          <w:rFonts w:ascii="Times New Roman" w:hAnsi="Times New Roman" w:cs="Times New Roman"/>
          <w:sz w:val="20"/>
          <w:szCs w:val="20"/>
        </w:rPr>
        <w:t xml:space="preserve">, </w:t>
      </w:r>
      <w:proofErr w:type="spellStart"/>
      <w:r w:rsidRPr="00962A2B">
        <w:rPr>
          <w:rFonts w:ascii="Times New Roman" w:hAnsi="Times New Roman" w:cs="Times New Roman"/>
          <w:sz w:val="20"/>
          <w:szCs w:val="20"/>
        </w:rPr>
        <w:t>Karlheinz</w:t>
      </w:r>
      <w:proofErr w:type="spellEnd"/>
      <w:r w:rsidRPr="00962A2B">
        <w:rPr>
          <w:rFonts w:ascii="Times New Roman" w:hAnsi="Times New Roman" w:cs="Times New Roman"/>
          <w:sz w:val="20"/>
          <w:szCs w:val="20"/>
        </w:rPr>
        <w:t xml:space="preserve">. 1998. “Three Moments in the Crisis of Exemplarity: Boccaccio-Petrarch, Montaigne, and Cervantes.” </w:t>
      </w:r>
      <w:r w:rsidRPr="00962A2B">
        <w:rPr>
          <w:rFonts w:ascii="Times New Roman" w:hAnsi="Times New Roman" w:cs="Times New Roman"/>
          <w:i/>
          <w:iCs/>
          <w:sz w:val="20"/>
          <w:szCs w:val="20"/>
        </w:rPr>
        <w:t>Journal of the History of Ideas</w:t>
      </w:r>
      <w:r w:rsidRPr="00962A2B">
        <w:rPr>
          <w:rFonts w:ascii="Times New Roman" w:hAnsi="Times New Roman" w:cs="Times New Roman"/>
          <w:sz w:val="20"/>
          <w:szCs w:val="20"/>
        </w:rPr>
        <w:t xml:space="preserve"> 59: 581–95.</w:t>
      </w:r>
    </w:p>
    <w:p w:rsidR="00962A2B" w:rsidRPr="00962A2B" w:rsidRDefault="00962A2B" w:rsidP="00962A2B">
      <w:pPr>
        <w:pStyle w:val="Bibliography"/>
        <w:spacing w:after="0" w:line="240" w:lineRule="auto"/>
        <w:rPr>
          <w:rFonts w:ascii="Times New Roman" w:hAnsi="Times New Roman" w:cs="Times New Roman"/>
          <w:sz w:val="20"/>
          <w:szCs w:val="20"/>
        </w:rPr>
      </w:pPr>
      <w:r w:rsidRPr="00962A2B">
        <w:rPr>
          <w:rFonts w:ascii="Times New Roman" w:hAnsi="Times New Roman" w:cs="Times New Roman"/>
          <w:sz w:val="20"/>
          <w:szCs w:val="20"/>
        </w:rPr>
        <w:t xml:space="preserve">Syme, Ronald. 1964. </w:t>
      </w:r>
      <w:r w:rsidRPr="00962A2B">
        <w:rPr>
          <w:rFonts w:ascii="Times New Roman" w:hAnsi="Times New Roman" w:cs="Times New Roman"/>
          <w:i/>
          <w:iCs/>
          <w:sz w:val="20"/>
          <w:szCs w:val="20"/>
        </w:rPr>
        <w:t>Sallust</w:t>
      </w:r>
      <w:r w:rsidRPr="00962A2B">
        <w:rPr>
          <w:rFonts w:ascii="Times New Roman" w:hAnsi="Times New Roman" w:cs="Times New Roman"/>
          <w:sz w:val="20"/>
          <w:szCs w:val="20"/>
        </w:rPr>
        <w:t>. Berkeley: University of California Press.</w:t>
      </w:r>
    </w:p>
    <w:p w:rsidR="00962A2B" w:rsidRPr="00962A2B" w:rsidRDefault="00962A2B" w:rsidP="00962A2B">
      <w:pPr>
        <w:pStyle w:val="Bibliography"/>
        <w:spacing w:after="0" w:line="240" w:lineRule="auto"/>
        <w:ind w:left="720" w:hanging="720"/>
        <w:rPr>
          <w:rFonts w:ascii="Times New Roman" w:hAnsi="Times New Roman" w:cs="Times New Roman"/>
          <w:sz w:val="20"/>
          <w:szCs w:val="20"/>
        </w:rPr>
      </w:pPr>
      <w:proofErr w:type="spellStart"/>
      <w:r w:rsidRPr="00962A2B">
        <w:rPr>
          <w:rFonts w:ascii="Times New Roman" w:hAnsi="Times New Roman" w:cs="Times New Roman"/>
          <w:sz w:val="20"/>
          <w:szCs w:val="20"/>
        </w:rPr>
        <w:t>Timpe</w:t>
      </w:r>
      <w:proofErr w:type="spellEnd"/>
      <w:r w:rsidRPr="00962A2B">
        <w:rPr>
          <w:rFonts w:ascii="Times New Roman" w:hAnsi="Times New Roman" w:cs="Times New Roman"/>
          <w:sz w:val="20"/>
          <w:szCs w:val="20"/>
        </w:rPr>
        <w:t>, Dieter. 2011. “</w:t>
      </w:r>
      <w:r w:rsidRPr="00962A2B">
        <w:rPr>
          <w:rFonts w:ascii="Times New Roman" w:hAnsi="Times New Roman" w:cs="Times New Roman"/>
          <w:i/>
          <w:iCs/>
          <w:sz w:val="20"/>
          <w:szCs w:val="20"/>
        </w:rPr>
        <w:t>Memoria</w:t>
      </w:r>
      <w:r w:rsidRPr="00962A2B">
        <w:rPr>
          <w:rFonts w:ascii="Times New Roman" w:hAnsi="Times New Roman" w:cs="Times New Roman"/>
          <w:sz w:val="20"/>
          <w:szCs w:val="20"/>
        </w:rPr>
        <w:t xml:space="preserve"> and Historiography in Rome.” In </w:t>
      </w:r>
      <w:r w:rsidRPr="00962A2B">
        <w:rPr>
          <w:rFonts w:ascii="Times New Roman" w:hAnsi="Times New Roman" w:cs="Times New Roman"/>
          <w:i/>
          <w:iCs/>
          <w:sz w:val="20"/>
          <w:szCs w:val="20"/>
        </w:rPr>
        <w:t>Greek and Roman Historiography</w:t>
      </w:r>
      <w:r w:rsidRPr="00962A2B">
        <w:rPr>
          <w:rFonts w:ascii="Times New Roman" w:hAnsi="Times New Roman" w:cs="Times New Roman"/>
          <w:sz w:val="20"/>
          <w:szCs w:val="20"/>
        </w:rPr>
        <w:t>,</w:t>
      </w:r>
      <w:r w:rsidR="002B26CB">
        <w:rPr>
          <w:rFonts w:ascii="Times New Roman" w:hAnsi="Times New Roman" w:cs="Times New Roman"/>
          <w:sz w:val="20"/>
          <w:szCs w:val="20"/>
        </w:rPr>
        <w:t xml:space="preserve"> </w:t>
      </w:r>
      <w:r w:rsidRPr="00962A2B">
        <w:rPr>
          <w:rFonts w:ascii="Times New Roman" w:hAnsi="Times New Roman" w:cs="Times New Roman"/>
          <w:sz w:val="20"/>
          <w:szCs w:val="20"/>
        </w:rPr>
        <w:t xml:space="preserve">ed. by John </w:t>
      </w:r>
      <w:proofErr w:type="spellStart"/>
      <w:r w:rsidRPr="00962A2B">
        <w:rPr>
          <w:rFonts w:ascii="Times New Roman" w:hAnsi="Times New Roman" w:cs="Times New Roman"/>
          <w:sz w:val="20"/>
          <w:szCs w:val="20"/>
        </w:rPr>
        <w:t>Marincola</w:t>
      </w:r>
      <w:proofErr w:type="spellEnd"/>
      <w:r w:rsidRPr="00962A2B">
        <w:rPr>
          <w:rFonts w:ascii="Times New Roman" w:hAnsi="Times New Roman" w:cs="Times New Roman"/>
          <w:sz w:val="20"/>
          <w:szCs w:val="20"/>
        </w:rPr>
        <w:t xml:space="preserve">, </w:t>
      </w:r>
      <w:proofErr w:type="gramStart"/>
      <w:r w:rsidRPr="00962A2B">
        <w:rPr>
          <w:rFonts w:ascii="Times New Roman" w:hAnsi="Times New Roman" w:cs="Times New Roman"/>
          <w:sz w:val="20"/>
          <w:szCs w:val="20"/>
        </w:rPr>
        <w:t>trans</w:t>
      </w:r>
      <w:proofErr w:type="gramEnd"/>
      <w:r w:rsidRPr="00962A2B">
        <w:rPr>
          <w:rFonts w:ascii="Times New Roman" w:hAnsi="Times New Roman" w:cs="Times New Roman"/>
          <w:sz w:val="20"/>
          <w:szCs w:val="20"/>
        </w:rPr>
        <w:t xml:space="preserve"> by Mark Beck, 150–74. Oxford; New York: Oxford University Press.</w:t>
      </w:r>
    </w:p>
    <w:p w:rsidR="00962A2B" w:rsidRPr="00962A2B" w:rsidRDefault="00962A2B" w:rsidP="00962A2B">
      <w:pPr>
        <w:pStyle w:val="Bibliography"/>
        <w:spacing w:after="0" w:line="240" w:lineRule="auto"/>
        <w:rPr>
          <w:rFonts w:ascii="Times New Roman" w:hAnsi="Times New Roman" w:cs="Times New Roman"/>
          <w:sz w:val="20"/>
          <w:szCs w:val="20"/>
        </w:rPr>
      </w:pPr>
      <w:r w:rsidRPr="00962A2B">
        <w:rPr>
          <w:rFonts w:ascii="Times New Roman" w:hAnsi="Times New Roman" w:cs="Times New Roman"/>
          <w:sz w:val="20"/>
          <w:szCs w:val="20"/>
          <w:lang w:val="de-DE"/>
        </w:rPr>
        <w:t xml:space="preserve">Vretska, Karl. 1955. “Studien Zu Sallusts </w:t>
      </w:r>
      <w:r w:rsidRPr="00962A2B">
        <w:rPr>
          <w:rFonts w:ascii="Times New Roman" w:hAnsi="Times New Roman" w:cs="Times New Roman"/>
          <w:i/>
          <w:iCs/>
          <w:sz w:val="20"/>
          <w:szCs w:val="20"/>
          <w:lang w:val="de-DE"/>
        </w:rPr>
        <w:t>Bellum Jugurthinum</w:t>
      </w:r>
      <w:r w:rsidRPr="00962A2B">
        <w:rPr>
          <w:rFonts w:ascii="Times New Roman" w:hAnsi="Times New Roman" w:cs="Times New Roman"/>
          <w:sz w:val="20"/>
          <w:szCs w:val="20"/>
          <w:lang w:val="de-DE"/>
        </w:rPr>
        <w:t xml:space="preserve">.” </w:t>
      </w:r>
      <w:r w:rsidRPr="00962A2B">
        <w:rPr>
          <w:rFonts w:ascii="Times New Roman" w:hAnsi="Times New Roman" w:cs="Times New Roman"/>
          <w:i/>
          <w:iCs/>
          <w:sz w:val="20"/>
          <w:szCs w:val="20"/>
        </w:rPr>
        <w:t>SAWW</w:t>
      </w:r>
      <w:r w:rsidRPr="00962A2B">
        <w:rPr>
          <w:rFonts w:ascii="Times New Roman" w:hAnsi="Times New Roman" w:cs="Times New Roman"/>
          <w:sz w:val="20"/>
          <w:szCs w:val="20"/>
        </w:rPr>
        <w:t xml:space="preserve"> 229 (4): 1–169.</w:t>
      </w:r>
    </w:p>
    <w:p w:rsidR="00962A2B" w:rsidRPr="00962A2B" w:rsidRDefault="00962A2B" w:rsidP="00962A2B">
      <w:pPr>
        <w:pStyle w:val="Bibliography"/>
        <w:spacing w:after="0" w:line="240" w:lineRule="auto"/>
        <w:rPr>
          <w:rFonts w:ascii="Times New Roman" w:hAnsi="Times New Roman" w:cs="Times New Roman"/>
          <w:sz w:val="20"/>
          <w:szCs w:val="20"/>
        </w:rPr>
      </w:pPr>
      <w:r w:rsidRPr="00962A2B">
        <w:rPr>
          <w:rFonts w:ascii="Times New Roman" w:hAnsi="Times New Roman" w:cs="Times New Roman"/>
          <w:sz w:val="20"/>
          <w:szCs w:val="20"/>
        </w:rPr>
        <w:t>Wallace-</w:t>
      </w:r>
      <w:proofErr w:type="spellStart"/>
      <w:r w:rsidRPr="00962A2B">
        <w:rPr>
          <w:rFonts w:ascii="Times New Roman" w:hAnsi="Times New Roman" w:cs="Times New Roman"/>
          <w:sz w:val="20"/>
          <w:szCs w:val="20"/>
        </w:rPr>
        <w:t>Hadrill</w:t>
      </w:r>
      <w:proofErr w:type="spellEnd"/>
      <w:r w:rsidRPr="00962A2B">
        <w:rPr>
          <w:rFonts w:ascii="Times New Roman" w:hAnsi="Times New Roman" w:cs="Times New Roman"/>
          <w:sz w:val="20"/>
          <w:szCs w:val="20"/>
        </w:rPr>
        <w:t xml:space="preserve">, Andrew. 2008. </w:t>
      </w:r>
      <w:r w:rsidRPr="00962A2B">
        <w:rPr>
          <w:rFonts w:ascii="Times New Roman" w:hAnsi="Times New Roman" w:cs="Times New Roman"/>
          <w:i/>
          <w:iCs/>
          <w:sz w:val="20"/>
          <w:szCs w:val="20"/>
        </w:rPr>
        <w:t>Rome’s Cultural Revolution</w:t>
      </w:r>
      <w:r w:rsidRPr="00962A2B">
        <w:rPr>
          <w:rFonts w:ascii="Times New Roman" w:hAnsi="Times New Roman" w:cs="Times New Roman"/>
          <w:sz w:val="20"/>
          <w:szCs w:val="20"/>
        </w:rPr>
        <w:t>. Cambridge; New York: Cambridge University Press.</w:t>
      </w:r>
    </w:p>
    <w:p w:rsidR="00962A2B" w:rsidRPr="00962A2B" w:rsidRDefault="00962A2B" w:rsidP="00962A2B">
      <w:pPr>
        <w:pStyle w:val="Bibliography"/>
        <w:spacing w:after="0" w:line="240" w:lineRule="auto"/>
        <w:rPr>
          <w:rFonts w:ascii="Times New Roman" w:hAnsi="Times New Roman" w:cs="Times New Roman"/>
          <w:sz w:val="20"/>
          <w:szCs w:val="20"/>
        </w:rPr>
      </w:pPr>
      <w:proofErr w:type="spellStart"/>
      <w:r w:rsidRPr="00962A2B">
        <w:rPr>
          <w:rFonts w:ascii="Times New Roman" w:hAnsi="Times New Roman" w:cs="Times New Roman"/>
          <w:sz w:val="20"/>
          <w:szCs w:val="20"/>
        </w:rPr>
        <w:t>Wiedemann</w:t>
      </w:r>
      <w:proofErr w:type="spellEnd"/>
      <w:r w:rsidRPr="00962A2B">
        <w:rPr>
          <w:rFonts w:ascii="Times New Roman" w:hAnsi="Times New Roman" w:cs="Times New Roman"/>
          <w:sz w:val="20"/>
          <w:szCs w:val="20"/>
        </w:rPr>
        <w:t xml:space="preserve">, Thomas. 1993. “Sallust’s </w:t>
      </w:r>
      <w:r w:rsidRPr="00962A2B">
        <w:rPr>
          <w:rFonts w:ascii="Times New Roman" w:hAnsi="Times New Roman" w:cs="Times New Roman"/>
          <w:i/>
          <w:iCs/>
          <w:sz w:val="20"/>
          <w:szCs w:val="20"/>
        </w:rPr>
        <w:t>Jugurtha</w:t>
      </w:r>
      <w:r w:rsidRPr="00962A2B">
        <w:rPr>
          <w:rFonts w:ascii="Times New Roman" w:hAnsi="Times New Roman" w:cs="Times New Roman"/>
          <w:sz w:val="20"/>
          <w:szCs w:val="20"/>
        </w:rPr>
        <w:t xml:space="preserve">: Concord, Discord, and the Digressions.” </w:t>
      </w:r>
      <w:r w:rsidRPr="00962A2B">
        <w:rPr>
          <w:rFonts w:ascii="Times New Roman" w:hAnsi="Times New Roman" w:cs="Times New Roman"/>
          <w:i/>
          <w:iCs/>
          <w:sz w:val="20"/>
          <w:szCs w:val="20"/>
        </w:rPr>
        <w:t>G&amp;R</w:t>
      </w:r>
      <w:r w:rsidRPr="00962A2B">
        <w:rPr>
          <w:rFonts w:ascii="Times New Roman" w:hAnsi="Times New Roman" w:cs="Times New Roman"/>
          <w:sz w:val="20"/>
          <w:szCs w:val="20"/>
        </w:rPr>
        <w:t xml:space="preserve"> 40: 48–57.</w:t>
      </w:r>
    </w:p>
    <w:p w:rsidR="00A558D3" w:rsidRPr="00962A2B" w:rsidRDefault="00962A2B" w:rsidP="002B26CB">
      <w:pPr>
        <w:pStyle w:val="Bibliography"/>
        <w:spacing w:after="0" w:line="240" w:lineRule="auto"/>
        <w:rPr>
          <w:rFonts w:ascii="Times New Roman" w:hAnsi="Times New Roman" w:cs="Times New Roman"/>
          <w:sz w:val="24"/>
          <w:szCs w:val="24"/>
          <w:lang w:val="fr-FR"/>
        </w:rPr>
      </w:pPr>
      <w:r w:rsidRPr="00962A2B">
        <w:rPr>
          <w:rFonts w:ascii="Times New Roman" w:hAnsi="Times New Roman" w:cs="Times New Roman"/>
          <w:sz w:val="20"/>
          <w:szCs w:val="20"/>
        </w:rPr>
        <w:t xml:space="preserve">Wilkins, Ann Thomas. 1994. </w:t>
      </w:r>
      <w:r w:rsidRPr="00962A2B">
        <w:rPr>
          <w:rFonts w:ascii="Times New Roman" w:hAnsi="Times New Roman" w:cs="Times New Roman"/>
          <w:i/>
          <w:iCs/>
          <w:sz w:val="20"/>
          <w:szCs w:val="20"/>
        </w:rPr>
        <w:t>Villain or Hero: Sallust’s Portrayal of Catiline</w:t>
      </w:r>
      <w:r w:rsidRPr="00962A2B">
        <w:rPr>
          <w:rFonts w:ascii="Times New Roman" w:hAnsi="Times New Roman" w:cs="Times New Roman"/>
          <w:sz w:val="20"/>
          <w:szCs w:val="20"/>
        </w:rPr>
        <w:t>. New York: P. Lang.</w:t>
      </w:r>
      <w:r w:rsidRPr="00962A2B">
        <w:rPr>
          <w:rFonts w:ascii="Times New Roman" w:hAnsi="Times New Roman" w:cs="Times New Roman"/>
          <w:sz w:val="20"/>
          <w:szCs w:val="20"/>
        </w:rPr>
        <w:fldChar w:fldCharType="end"/>
      </w:r>
    </w:p>
    <w:sectPr w:rsidR="00A558D3" w:rsidRPr="00962A2B" w:rsidSect="00776E24">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147" w:rsidRDefault="004D5147" w:rsidP="00DC0EA9">
      <w:pPr>
        <w:spacing w:after="0" w:line="240" w:lineRule="auto"/>
      </w:pPr>
      <w:r>
        <w:separator/>
      </w:r>
    </w:p>
  </w:endnote>
  <w:endnote w:type="continuationSeparator" w:id="0">
    <w:p w:rsidR="004D5147" w:rsidRDefault="004D5147" w:rsidP="00DC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6CB" w:rsidRDefault="002B2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147" w:rsidRDefault="004D5147" w:rsidP="00DC0EA9">
      <w:pPr>
        <w:spacing w:after="0" w:line="240" w:lineRule="auto"/>
      </w:pPr>
      <w:r>
        <w:separator/>
      </w:r>
    </w:p>
  </w:footnote>
  <w:footnote w:type="continuationSeparator" w:id="0">
    <w:p w:rsidR="004D5147" w:rsidRDefault="004D5147" w:rsidP="00DC0EA9">
      <w:pPr>
        <w:spacing w:after="0" w:line="240" w:lineRule="auto"/>
      </w:pPr>
      <w:r>
        <w:continuationSeparator/>
      </w:r>
    </w:p>
  </w:footnote>
  <w:footnote w:id="1">
    <w:p w:rsidR="00776E24" w:rsidRPr="00776E24" w:rsidRDefault="00776E24" w:rsidP="00776E24">
      <w:pPr>
        <w:pStyle w:val="FootnoteText"/>
        <w:rPr>
          <w:rFonts w:ascii="Times New Roman" w:hAnsi="Times New Roman" w:cs="Times New Roman"/>
        </w:rPr>
      </w:pPr>
      <w:r w:rsidRPr="00776E24">
        <w:rPr>
          <w:rStyle w:val="FootnoteReference"/>
          <w:rFonts w:ascii="Times New Roman" w:hAnsi="Times New Roman" w:cs="Times New Roman"/>
        </w:rPr>
        <w:footnoteRef/>
      </w:r>
      <w:r w:rsidRPr="00776E24">
        <w:rPr>
          <w:rFonts w:ascii="Times New Roman" w:hAnsi="Times New Roman" w:cs="Times New Roman"/>
        </w:rPr>
        <w:t xml:space="preserve"> Translations</w:t>
      </w:r>
      <w:r>
        <w:rPr>
          <w:rFonts w:ascii="Times New Roman" w:hAnsi="Times New Roman" w:cs="Times New Roman"/>
        </w:rPr>
        <w:t xml:space="preserve"> are </w:t>
      </w:r>
      <w:r w:rsidR="00C24CD2">
        <w:rPr>
          <w:rFonts w:ascii="Times New Roman" w:hAnsi="Times New Roman" w:cs="Times New Roman"/>
        </w:rPr>
        <w:t xml:space="preserve">the author’s. Text used is Reynolds’ 1991 </w:t>
      </w:r>
      <w:r w:rsidR="00C24CD2">
        <w:rPr>
          <w:rFonts w:ascii="Times New Roman" w:hAnsi="Times New Roman" w:cs="Times New Roman"/>
          <w:i/>
        </w:rPr>
        <w:t>OCT</w:t>
      </w:r>
      <w:r w:rsidR="00C24CD2">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403C1"/>
    <w:multiLevelType w:val="hybridMultilevel"/>
    <w:tmpl w:val="A9A6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881457"/>
    <w:multiLevelType w:val="hybridMultilevel"/>
    <w:tmpl w:val="46DCCD2C"/>
    <w:lvl w:ilvl="0" w:tplc="25801A3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C13431"/>
    <w:multiLevelType w:val="hybridMultilevel"/>
    <w:tmpl w:val="FE9E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EF0E4F"/>
    <w:multiLevelType w:val="hybridMultilevel"/>
    <w:tmpl w:val="0E82E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65"/>
    <w:rsid w:val="000464F0"/>
    <w:rsid w:val="001133DD"/>
    <w:rsid w:val="00150967"/>
    <w:rsid w:val="002B26CB"/>
    <w:rsid w:val="002C312F"/>
    <w:rsid w:val="003258A5"/>
    <w:rsid w:val="0039390D"/>
    <w:rsid w:val="003C1228"/>
    <w:rsid w:val="003E505A"/>
    <w:rsid w:val="003F64D9"/>
    <w:rsid w:val="004D5147"/>
    <w:rsid w:val="005743FB"/>
    <w:rsid w:val="006469F6"/>
    <w:rsid w:val="006A1FA0"/>
    <w:rsid w:val="006E2C25"/>
    <w:rsid w:val="00776E24"/>
    <w:rsid w:val="00781765"/>
    <w:rsid w:val="00863621"/>
    <w:rsid w:val="00863B8C"/>
    <w:rsid w:val="00962A2B"/>
    <w:rsid w:val="00A37635"/>
    <w:rsid w:val="00A558D3"/>
    <w:rsid w:val="00A76EB0"/>
    <w:rsid w:val="00C24CD2"/>
    <w:rsid w:val="00DC0EA9"/>
    <w:rsid w:val="00DC2D54"/>
    <w:rsid w:val="00DD079C"/>
    <w:rsid w:val="00DE2782"/>
    <w:rsid w:val="00ED778F"/>
    <w:rsid w:val="00F7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6090E-92F2-4F25-AF26-18BFC1CF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765"/>
    <w:rPr>
      <w:color w:val="0563C1" w:themeColor="hyperlink"/>
      <w:u w:val="single"/>
    </w:rPr>
  </w:style>
  <w:style w:type="paragraph" w:styleId="ListParagraph">
    <w:name w:val="List Paragraph"/>
    <w:basedOn w:val="Normal"/>
    <w:uiPriority w:val="34"/>
    <w:qFormat/>
    <w:rsid w:val="00781765"/>
    <w:pPr>
      <w:ind w:left="720"/>
      <w:contextualSpacing/>
    </w:pPr>
  </w:style>
  <w:style w:type="table" w:styleId="TableGrid">
    <w:name w:val="Table Grid"/>
    <w:basedOn w:val="TableNormal"/>
    <w:uiPriority w:val="39"/>
    <w:rsid w:val="0078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DC0EA9"/>
    <w:pPr>
      <w:spacing w:after="0" w:line="240" w:lineRule="auto"/>
    </w:pPr>
    <w:rPr>
      <w:rFonts w:eastAsiaTheme="minorEastAsia"/>
      <w:sz w:val="20"/>
      <w:szCs w:val="20"/>
    </w:rPr>
  </w:style>
  <w:style w:type="character" w:customStyle="1" w:styleId="FootnoteTextChar">
    <w:name w:val="Footnote Text Char"/>
    <w:basedOn w:val="DefaultParagraphFont"/>
    <w:link w:val="FootnoteText"/>
    <w:rsid w:val="00DC0EA9"/>
    <w:rPr>
      <w:rFonts w:eastAsiaTheme="minorEastAsia"/>
      <w:sz w:val="20"/>
      <w:szCs w:val="20"/>
    </w:rPr>
  </w:style>
  <w:style w:type="character" w:styleId="FootnoteReference">
    <w:name w:val="footnote reference"/>
    <w:basedOn w:val="DefaultParagraphFont"/>
    <w:unhideWhenUsed/>
    <w:rsid w:val="00DC0EA9"/>
    <w:rPr>
      <w:vertAlign w:val="superscript"/>
    </w:rPr>
  </w:style>
  <w:style w:type="paragraph" w:styleId="Bibliography">
    <w:name w:val="Bibliography"/>
    <w:basedOn w:val="Normal"/>
    <w:next w:val="Normal"/>
    <w:uiPriority w:val="37"/>
    <w:unhideWhenUsed/>
    <w:rsid w:val="00A558D3"/>
  </w:style>
  <w:style w:type="paragraph" w:styleId="Header">
    <w:name w:val="header"/>
    <w:basedOn w:val="Normal"/>
    <w:link w:val="HeaderChar"/>
    <w:uiPriority w:val="99"/>
    <w:unhideWhenUsed/>
    <w:rsid w:val="0077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E24"/>
  </w:style>
  <w:style w:type="paragraph" w:styleId="Footer">
    <w:name w:val="footer"/>
    <w:basedOn w:val="Normal"/>
    <w:link w:val="FooterChar"/>
    <w:uiPriority w:val="99"/>
    <w:unhideWhenUsed/>
    <w:rsid w:val="0077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E24"/>
  </w:style>
  <w:style w:type="paragraph" w:styleId="BalloonText">
    <w:name w:val="Balloon Text"/>
    <w:basedOn w:val="Normal"/>
    <w:link w:val="BalloonTextChar"/>
    <w:uiPriority w:val="99"/>
    <w:semiHidden/>
    <w:unhideWhenUsed/>
    <w:rsid w:val="00046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DC63F-BFCE-474D-9146-51D447DE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Vasta</dc:creator>
  <cp:keywords/>
  <dc:description/>
  <cp:lastModifiedBy>Michael Vasta</cp:lastModifiedBy>
  <cp:revision>3</cp:revision>
  <cp:lastPrinted>2014-04-02T02:38:00Z</cp:lastPrinted>
  <dcterms:created xsi:type="dcterms:W3CDTF">2015-03-24T19:35:00Z</dcterms:created>
  <dcterms:modified xsi:type="dcterms:W3CDTF">2015-03-24T20:49:00Z</dcterms:modified>
</cp:coreProperties>
</file>