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9E4" w:rsidRPr="00A0388C" w:rsidRDefault="00CE29E4" w:rsidP="00CE29E4">
      <w:pPr>
        <w:spacing w:after="40" w:line="240" w:lineRule="auto"/>
        <w:ind w:left="2880" w:firstLine="720"/>
        <w:jc w:val="right"/>
        <w:rPr>
          <w:rFonts w:ascii="Times New Roman" w:hAnsi="Times New Roman" w:cs="Times New Roman"/>
          <w:sz w:val="24"/>
          <w:szCs w:val="24"/>
        </w:rPr>
      </w:pPr>
      <w:r w:rsidRPr="00A0388C">
        <w:rPr>
          <w:rFonts w:ascii="Times New Roman" w:hAnsi="Times New Roman" w:cs="Times New Roman"/>
          <w:sz w:val="24"/>
          <w:szCs w:val="24"/>
        </w:rPr>
        <w:t>Emily Berardi</w:t>
      </w:r>
    </w:p>
    <w:p w:rsidR="00CE29E4" w:rsidRDefault="00CE29E4" w:rsidP="00CE29E4">
      <w:pPr>
        <w:spacing w:after="40" w:line="240" w:lineRule="auto"/>
        <w:ind w:left="6480" w:firstLine="720"/>
        <w:jc w:val="right"/>
        <w:rPr>
          <w:rFonts w:ascii="Times New Roman" w:hAnsi="Times New Roman" w:cs="Times New Roman"/>
          <w:sz w:val="24"/>
          <w:szCs w:val="24"/>
        </w:rPr>
      </w:pPr>
      <w:r w:rsidRPr="00A0388C">
        <w:rPr>
          <w:rFonts w:ascii="Times New Roman" w:hAnsi="Times New Roman" w:cs="Times New Roman"/>
          <w:sz w:val="24"/>
          <w:szCs w:val="24"/>
        </w:rPr>
        <w:t>March 17, 2016</w:t>
      </w:r>
    </w:p>
    <w:p w:rsidR="00CE29E4" w:rsidRPr="00CE29E4" w:rsidRDefault="00CE29E4" w:rsidP="00CE29E4">
      <w:pPr>
        <w:spacing w:after="40" w:line="240" w:lineRule="auto"/>
        <w:ind w:left="6480" w:firstLine="720"/>
        <w:jc w:val="right"/>
        <w:rPr>
          <w:rFonts w:ascii="Times New Roman" w:hAnsi="Times New Roman" w:cs="Times New Roman"/>
          <w:sz w:val="24"/>
          <w:szCs w:val="24"/>
        </w:rPr>
      </w:pPr>
      <w:r>
        <w:rPr>
          <w:rFonts w:ascii="Times New Roman" w:hAnsi="Times New Roman" w:cs="Times New Roman"/>
          <w:sz w:val="24"/>
          <w:szCs w:val="24"/>
        </w:rPr>
        <w:t>eberardi@umass.edu</w:t>
      </w:r>
    </w:p>
    <w:p w:rsidR="00CE29E4" w:rsidRDefault="00CE29E4" w:rsidP="00CE29E4">
      <w:pPr>
        <w:spacing w:after="40" w:line="240" w:lineRule="auto"/>
        <w:ind w:firstLine="720"/>
        <w:rPr>
          <w:rFonts w:ascii="Times New Roman" w:hAnsi="Times New Roman" w:cs="Times New Roman"/>
          <w:sz w:val="24"/>
          <w:szCs w:val="24"/>
        </w:rPr>
      </w:pPr>
    </w:p>
    <w:p w:rsidR="00A0388C" w:rsidRDefault="00A0388C" w:rsidP="00CE29E4">
      <w:pPr>
        <w:spacing w:after="40" w:line="240" w:lineRule="auto"/>
        <w:ind w:firstLine="720"/>
        <w:rPr>
          <w:rFonts w:ascii="Times New Roman" w:hAnsi="Times New Roman" w:cs="Times New Roman"/>
          <w:sz w:val="24"/>
          <w:szCs w:val="24"/>
        </w:rPr>
      </w:pPr>
      <w:r w:rsidRPr="00A0388C">
        <w:rPr>
          <w:rFonts w:ascii="Times New Roman" w:hAnsi="Times New Roman" w:cs="Times New Roman"/>
          <w:sz w:val="24"/>
          <w:szCs w:val="24"/>
        </w:rPr>
        <w:t xml:space="preserve">The Show Must Go On: Role-Play and Disguise in Petronius’ </w:t>
      </w:r>
      <w:r w:rsidRPr="00CE29E4">
        <w:rPr>
          <w:rFonts w:ascii="Times New Roman" w:hAnsi="Times New Roman" w:cs="Times New Roman"/>
          <w:i/>
          <w:sz w:val="24"/>
          <w:szCs w:val="24"/>
        </w:rPr>
        <w:t>Satyricon</w:t>
      </w:r>
    </w:p>
    <w:p w:rsidR="00CE29E4" w:rsidRPr="00CE29E4" w:rsidRDefault="00CE29E4" w:rsidP="00CE29E4">
      <w:pPr>
        <w:spacing w:after="40" w:line="240" w:lineRule="auto"/>
        <w:ind w:left="288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29E4" w:rsidRPr="00CE29E4" w:rsidRDefault="00CE29E4" w:rsidP="00CE29E4">
      <w:pPr>
        <w:spacing w:after="40"/>
        <w:rPr>
          <w:rFonts w:ascii="Times New Roman" w:hAnsi="Times New Roman" w:cs="Times New Roman"/>
          <w:iCs/>
          <w:color w:val="000000"/>
          <w:sz w:val="24"/>
          <w:szCs w:val="24"/>
        </w:rPr>
        <w:sectPr w:rsidR="00CE29E4" w:rsidRPr="00CE29E4">
          <w:pgSz w:w="12240" w:h="15840"/>
          <w:pgMar w:top="1440" w:right="1440" w:bottom="1440" w:left="1440" w:header="720" w:footer="720" w:gutter="0"/>
          <w:cols w:space="720"/>
          <w:docGrid w:linePitch="360"/>
        </w:sectPr>
      </w:pPr>
    </w:p>
    <w:p w:rsidR="00A0388C" w:rsidRDefault="00A0388C" w:rsidP="00CE29E4">
      <w:pPr>
        <w:pStyle w:val="ListParagraph"/>
        <w:numPr>
          <w:ilvl w:val="0"/>
          <w:numId w:val="1"/>
        </w:numPr>
        <w:spacing w:after="40"/>
        <w:rPr>
          <w:rFonts w:ascii="Times New Roman" w:hAnsi="Times New Roman" w:cs="Times New Roman"/>
          <w:iCs/>
          <w:color w:val="000000"/>
          <w:sz w:val="24"/>
          <w:szCs w:val="24"/>
        </w:rPr>
        <w:sectPr w:rsidR="00A0388C" w:rsidSect="00CE29E4">
          <w:type w:val="continuous"/>
          <w:pgSz w:w="12240" w:h="15840"/>
          <w:pgMar w:top="1440" w:right="1440" w:bottom="1440" w:left="1440" w:header="720" w:footer="720" w:gutter="0"/>
          <w:cols w:num="2" w:space="720"/>
          <w:docGrid w:linePitch="360"/>
        </w:sectPr>
      </w:pPr>
    </w:p>
    <w:p w:rsidR="00CE29E4" w:rsidRPr="00CE29E4" w:rsidRDefault="00CE29E4" w:rsidP="00CE29E4">
      <w:pPr>
        <w:spacing w:after="40"/>
        <w:rPr>
          <w:rFonts w:ascii="Times New Roman" w:hAnsi="Times New Roman" w:cs="Times New Roman"/>
          <w:iCs/>
          <w:color w:val="000000"/>
          <w:sz w:val="24"/>
          <w:szCs w:val="24"/>
        </w:rPr>
      </w:pPr>
      <w:r w:rsidRPr="00CE29E4">
        <w:rPr>
          <w:rFonts w:ascii="Times New Roman" w:hAnsi="Times New Roman" w:cs="Times New Roman"/>
          <w:iCs/>
          <w:color w:val="000000"/>
          <w:sz w:val="24"/>
          <w:szCs w:val="24"/>
        </w:rPr>
        <w:lastRenderedPageBreak/>
        <w:t>1)</w:t>
      </w:r>
      <w:r>
        <w:rPr>
          <w:rFonts w:ascii="Times New Roman" w:hAnsi="Times New Roman" w:cs="Times New Roman"/>
          <w:iCs/>
          <w:color w:val="000000"/>
          <w:sz w:val="24"/>
          <w:szCs w:val="24"/>
        </w:rPr>
        <w:t xml:space="preserve"> </w:t>
      </w:r>
      <w:r w:rsidR="00A0388C" w:rsidRPr="00CE29E4">
        <w:rPr>
          <w:rFonts w:ascii="Times New Roman" w:hAnsi="Times New Roman" w:cs="Times New Roman"/>
          <w:iCs/>
          <w:color w:val="000000"/>
          <w:sz w:val="24"/>
          <w:szCs w:val="24"/>
        </w:rPr>
        <w:t>Cum deinde vultu atque ipsa trepidatione mendacium prodidissem (Ch 82)</w:t>
      </w:r>
    </w:p>
    <w:p w:rsidR="00CE29E4" w:rsidRDefault="00CE29E4" w:rsidP="00CE29E4">
      <w:pPr>
        <w:spacing w:after="40"/>
        <w:rPr>
          <w:rFonts w:ascii="Times New Roman" w:hAnsi="Times New Roman" w:cs="Times New Roman"/>
          <w:color w:val="000000"/>
          <w:sz w:val="24"/>
          <w:szCs w:val="24"/>
        </w:rPr>
      </w:pPr>
    </w:p>
    <w:p w:rsidR="00A0388C" w:rsidRPr="00CE29E4" w:rsidRDefault="00CE29E4" w:rsidP="00CE29E4">
      <w:pPr>
        <w:spacing w:after="40"/>
        <w:rPr>
          <w:rFonts w:ascii="Times New Roman" w:hAnsi="Times New Roman" w:cs="Times New Roman"/>
          <w:sz w:val="24"/>
          <w:szCs w:val="24"/>
        </w:rPr>
      </w:pPr>
      <w:r>
        <w:rPr>
          <w:rFonts w:ascii="Times New Roman" w:hAnsi="Times New Roman" w:cs="Times New Roman"/>
          <w:color w:val="000000"/>
          <w:sz w:val="24"/>
          <w:szCs w:val="24"/>
        </w:rPr>
        <w:t xml:space="preserve">2) </w:t>
      </w:r>
      <w:r w:rsidR="00A0388C" w:rsidRPr="00CE29E4">
        <w:rPr>
          <w:rFonts w:ascii="Times New Roman" w:hAnsi="Times New Roman" w:cs="Times New Roman"/>
          <w:color w:val="000000"/>
          <w:sz w:val="24"/>
          <w:szCs w:val="24"/>
        </w:rPr>
        <w:t>…</w:t>
      </w:r>
      <w:r w:rsidR="00A0388C" w:rsidRPr="00CE29E4">
        <w:rPr>
          <w:rFonts w:ascii="Times New Roman" w:hAnsi="Times New Roman" w:cs="Times New Roman"/>
          <w:iCs/>
          <w:color w:val="000000"/>
          <w:sz w:val="24"/>
          <w:szCs w:val="24"/>
        </w:rPr>
        <w:t xml:space="preserve">non multa una oporteat consentiant ratione, &lt;ut&gt; mendacium constet </w:t>
      </w:r>
      <w:r w:rsidR="00A0388C" w:rsidRPr="00CE29E4">
        <w:rPr>
          <w:rFonts w:ascii="Times New Roman" w:hAnsi="Times New Roman" w:cs="Times New Roman"/>
          <w:color w:val="000000"/>
          <w:sz w:val="24"/>
          <w:szCs w:val="24"/>
        </w:rPr>
        <w:t>(Ch. 102)</w:t>
      </w:r>
    </w:p>
    <w:p w:rsidR="00CE29E4" w:rsidRPr="00CE29E4" w:rsidRDefault="00CE29E4" w:rsidP="00CE29E4">
      <w:pPr>
        <w:spacing w:after="40"/>
        <w:rPr>
          <w:rFonts w:ascii="Times New Roman" w:hAnsi="Times New Roman" w:cs="Times New Roman"/>
          <w:iCs/>
          <w:color w:val="000000"/>
          <w:sz w:val="24"/>
          <w:szCs w:val="24"/>
        </w:rPr>
      </w:pPr>
      <w:r w:rsidRPr="00CE29E4">
        <w:rPr>
          <w:rFonts w:ascii="Times New Roman" w:hAnsi="Times New Roman" w:cs="Times New Roman"/>
          <w:color w:val="000000"/>
          <w:sz w:val="24"/>
          <w:szCs w:val="24"/>
        </w:rPr>
        <w:lastRenderedPageBreak/>
        <w:t>“Both my expression and my agitation s</w:t>
      </w:r>
      <w:r>
        <w:rPr>
          <w:rFonts w:ascii="Times New Roman" w:hAnsi="Times New Roman" w:cs="Times New Roman"/>
          <w:color w:val="000000"/>
          <w:sz w:val="24"/>
          <w:szCs w:val="24"/>
        </w:rPr>
        <w:t>howed that I was lying.”</w:t>
      </w:r>
    </w:p>
    <w:p w:rsidR="00CE29E4" w:rsidRDefault="00CE29E4" w:rsidP="00CE29E4">
      <w:pPr>
        <w:spacing w:after="40"/>
        <w:rPr>
          <w:rFonts w:ascii="Times New Roman" w:hAnsi="Times New Roman" w:cs="Times New Roman"/>
          <w:color w:val="000000"/>
          <w:sz w:val="24"/>
          <w:szCs w:val="24"/>
        </w:rPr>
      </w:pPr>
    </w:p>
    <w:p w:rsidR="00CE29E4" w:rsidRDefault="00CE29E4" w:rsidP="00CE29E4">
      <w:pPr>
        <w:spacing w:after="40"/>
        <w:rPr>
          <w:rFonts w:ascii="Times New Roman" w:hAnsi="Times New Roman" w:cs="Times New Roman"/>
          <w:color w:val="000000"/>
          <w:sz w:val="24"/>
          <w:szCs w:val="24"/>
        </w:rPr>
      </w:pPr>
      <w:r w:rsidRPr="00A0388C">
        <w:rPr>
          <w:rFonts w:ascii="Times New Roman" w:hAnsi="Times New Roman" w:cs="Times New Roman"/>
          <w:color w:val="000000"/>
          <w:sz w:val="24"/>
          <w:szCs w:val="24"/>
        </w:rPr>
        <w:t>“Many features must conspire to make the deception successful</w:t>
      </w:r>
      <w:r>
        <w:rPr>
          <w:rFonts w:ascii="Times New Roman" w:hAnsi="Times New Roman" w:cs="Times New Roman"/>
          <w:color w:val="000000"/>
          <w:sz w:val="24"/>
          <w:szCs w:val="24"/>
        </w:rPr>
        <w:t>.</w:t>
      </w:r>
      <w:r w:rsidRPr="00A0388C">
        <w:rPr>
          <w:rFonts w:ascii="Times New Roman" w:hAnsi="Times New Roman" w:cs="Times New Roman"/>
          <w:color w:val="000000"/>
          <w:sz w:val="24"/>
          <w:szCs w:val="24"/>
        </w:rPr>
        <w:t>”</w:t>
      </w:r>
    </w:p>
    <w:p w:rsidR="00CE29E4" w:rsidRDefault="00CE29E4" w:rsidP="00CE29E4">
      <w:pPr>
        <w:spacing w:after="40"/>
        <w:rPr>
          <w:rFonts w:ascii="Times New Roman" w:hAnsi="Times New Roman" w:cs="Times New Roman"/>
          <w:sz w:val="24"/>
          <w:szCs w:val="24"/>
        </w:rPr>
        <w:sectPr w:rsidR="00CE29E4" w:rsidSect="00CE29E4">
          <w:type w:val="continuous"/>
          <w:pgSz w:w="12240" w:h="15840"/>
          <w:pgMar w:top="1440" w:right="1440" w:bottom="1440" w:left="1440" w:header="720" w:footer="720" w:gutter="0"/>
          <w:cols w:num="2" w:space="720"/>
          <w:docGrid w:linePitch="360"/>
        </w:sectPr>
      </w:pPr>
    </w:p>
    <w:p w:rsidR="00CE29E4" w:rsidRPr="00CE29E4" w:rsidRDefault="00CE29E4" w:rsidP="00CE29E4">
      <w:pPr>
        <w:spacing w:after="40"/>
        <w:rPr>
          <w:rFonts w:ascii="Times New Roman" w:hAnsi="Times New Roman" w:cs="Times New Roman"/>
          <w:sz w:val="24"/>
          <w:szCs w:val="24"/>
        </w:rPr>
      </w:pPr>
    </w:p>
    <w:p w:rsidR="00CE29E4" w:rsidRDefault="00CE29E4" w:rsidP="00CE29E4">
      <w:pPr>
        <w:spacing w:after="40"/>
        <w:rPr>
          <w:rFonts w:ascii="Times New Roman" w:hAnsi="Times New Roman" w:cs="Times New Roman"/>
          <w:sz w:val="24"/>
          <w:szCs w:val="24"/>
          <w:lang w:val="es-ES_tradnl"/>
        </w:rPr>
        <w:sectPr w:rsidR="00CE29E4" w:rsidSect="00CE29E4">
          <w:type w:val="continuous"/>
          <w:pgSz w:w="12240" w:h="15840"/>
          <w:pgMar w:top="1440" w:right="1440" w:bottom="1440" w:left="1440" w:header="720" w:footer="720" w:gutter="0"/>
          <w:cols w:space="720"/>
          <w:docGrid w:linePitch="360"/>
        </w:sectPr>
      </w:pPr>
    </w:p>
    <w:p w:rsidR="00CE29E4" w:rsidRDefault="00CE29E4" w:rsidP="00CE29E4">
      <w:pPr>
        <w:spacing w:after="40"/>
        <w:rPr>
          <w:rFonts w:ascii="Times New Roman" w:hAnsi="Times New Roman" w:cs="Times New Roman"/>
          <w:sz w:val="24"/>
          <w:szCs w:val="24"/>
        </w:rPr>
      </w:pPr>
      <w:r>
        <w:rPr>
          <w:rFonts w:ascii="Times New Roman" w:hAnsi="Times New Roman" w:cs="Times New Roman"/>
          <w:sz w:val="24"/>
          <w:szCs w:val="24"/>
          <w:lang w:val="es-ES_tradnl"/>
        </w:rPr>
        <w:lastRenderedPageBreak/>
        <w:t xml:space="preserve">3) </w:t>
      </w:r>
      <w:r w:rsidR="00A0388C" w:rsidRPr="00CE29E4">
        <w:rPr>
          <w:rFonts w:ascii="Times New Roman" w:hAnsi="Times New Roman" w:cs="Times New Roman"/>
          <w:sz w:val="24"/>
          <w:szCs w:val="24"/>
          <w:lang w:val="es-ES_tradnl"/>
        </w:rPr>
        <w:t>Quidni?... etiam circumcide nos, ut Iudaei videamur, et pertunde aures, ut imitemur Arabes, et increta facies, ut su</w:t>
      </w:r>
      <w:r w:rsidR="00FF6B5C">
        <w:rPr>
          <w:rFonts w:ascii="Times New Roman" w:hAnsi="Times New Roman" w:cs="Times New Roman"/>
          <w:sz w:val="24"/>
          <w:szCs w:val="24"/>
          <w:lang w:val="es-ES_tradnl"/>
        </w:rPr>
        <w:t>os Gallia cives putet (Ch. 102)</w:t>
      </w:r>
      <w:bookmarkStart w:id="0" w:name="_GoBack"/>
      <w:bookmarkEnd w:id="0"/>
    </w:p>
    <w:p w:rsidR="00CE29E4" w:rsidRDefault="00CE29E4" w:rsidP="00CE29E4">
      <w:pPr>
        <w:spacing w:after="40"/>
        <w:rPr>
          <w:rFonts w:ascii="Times New Roman" w:hAnsi="Times New Roman" w:cs="Times New Roman"/>
          <w:color w:val="000000"/>
          <w:sz w:val="24"/>
          <w:szCs w:val="24"/>
        </w:rPr>
      </w:pPr>
      <w:r w:rsidRPr="00A0388C">
        <w:rPr>
          <w:rFonts w:ascii="Times New Roman" w:hAnsi="Times New Roman" w:cs="Times New Roman"/>
          <w:color w:val="000000"/>
          <w:sz w:val="24"/>
          <w:szCs w:val="24"/>
        </w:rPr>
        <w:lastRenderedPageBreak/>
        <w:t>“What a splendid notion…You can also circumcise us to make us look like Jews, pierce our ears to help us masquerade as Arabs, and plaster our faces with chalk to allow Gaul to claim us as her citizens!”</w:t>
      </w:r>
    </w:p>
    <w:p w:rsidR="00CE29E4" w:rsidRPr="00CE29E4" w:rsidRDefault="00CE29E4" w:rsidP="00CE29E4">
      <w:pPr>
        <w:spacing w:after="40"/>
        <w:rPr>
          <w:rFonts w:ascii="Times New Roman" w:hAnsi="Times New Roman" w:cs="Times New Roman"/>
          <w:sz w:val="24"/>
          <w:szCs w:val="24"/>
        </w:rPr>
        <w:sectPr w:rsidR="00CE29E4" w:rsidRPr="00CE29E4" w:rsidSect="00CE29E4">
          <w:type w:val="continuous"/>
          <w:pgSz w:w="12240" w:h="15840"/>
          <w:pgMar w:top="1440" w:right="1440" w:bottom="1440" w:left="1440" w:header="720" w:footer="720" w:gutter="0"/>
          <w:cols w:num="2" w:space="720"/>
          <w:docGrid w:linePitch="360"/>
        </w:sectPr>
      </w:pPr>
    </w:p>
    <w:p w:rsidR="00CE29E4" w:rsidRDefault="00CE29E4" w:rsidP="00CE29E4">
      <w:pPr>
        <w:spacing w:after="40"/>
        <w:rPr>
          <w:rFonts w:ascii="Times New Roman" w:hAnsi="Times New Roman" w:cs="Times New Roman"/>
          <w:iCs/>
          <w:color w:val="000000"/>
          <w:sz w:val="24"/>
          <w:szCs w:val="24"/>
        </w:rPr>
      </w:pPr>
    </w:p>
    <w:p w:rsidR="00A0388C" w:rsidRPr="00CE29E4" w:rsidRDefault="00CE29E4" w:rsidP="00CE29E4">
      <w:pPr>
        <w:spacing w:after="40"/>
        <w:rPr>
          <w:rFonts w:ascii="Times New Roman" w:hAnsi="Times New Roman" w:cs="Times New Roman"/>
          <w:sz w:val="24"/>
          <w:szCs w:val="24"/>
        </w:rPr>
      </w:pPr>
      <w:r>
        <w:rPr>
          <w:rFonts w:ascii="Times New Roman" w:hAnsi="Times New Roman" w:cs="Times New Roman"/>
          <w:iCs/>
          <w:color w:val="000000"/>
          <w:sz w:val="24"/>
          <w:szCs w:val="24"/>
        </w:rPr>
        <w:t>4) ..</w:t>
      </w:r>
      <w:r w:rsidR="00A0388C" w:rsidRPr="00CE29E4">
        <w:rPr>
          <w:rFonts w:ascii="Times New Roman" w:hAnsi="Times New Roman" w:cs="Times New Roman"/>
          <w:iCs/>
          <w:color w:val="000000"/>
          <w:sz w:val="24"/>
          <w:szCs w:val="24"/>
        </w:rPr>
        <w:t>.omnes vultus temptavit, quos solet inter amantes risus fingere</w:t>
      </w:r>
      <w:r w:rsidR="00A0388C" w:rsidRPr="00CE29E4">
        <w:rPr>
          <w:rFonts w:ascii="Times New Roman" w:hAnsi="Times New Roman" w:cs="Times New Roman"/>
          <w:color w:val="000000"/>
          <w:sz w:val="24"/>
          <w:szCs w:val="24"/>
        </w:rPr>
        <w:t xml:space="preserve"> (Ch. 128)</w:t>
      </w:r>
    </w:p>
    <w:p w:rsidR="00CE29E4" w:rsidRDefault="00CE29E4" w:rsidP="00CE29E4">
      <w:pPr>
        <w:spacing w:after="40"/>
        <w:rPr>
          <w:rFonts w:ascii="Times New Roman" w:hAnsi="Times New Roman" w:cs="Times New Roman"/>
          <w:sz w:val="24"/>
          <w:szCs w:val="24"/>
        </w:rPr>
      </w:pPr>
    </w:p>
    <w:p w:rsidR="00A0388C" w:rsidRDefault="00A0388C" w:rsidP="00CE29E4">
      <w:pPr>
        <w:spacing w:after="40"/>
        <w:rPr>
          <w:rFonts w:ascii="Times New Roman" w:hAnsi="Times New Roman" w:cs="Times New Roman"/>
          <w:sz w:val="24"/>
          <w:szCs w:val="24"/>
        </w:rPr>
      </w:pPr>
    </w:p>
    <w:p w:rsidR="00CE29E4" w:rsidRDefault="00CE29E4" w:rsidP="00CE29E4">
      <w:pPr>
        <w:spacing w:after="40"/>
        <w:rPr>
          <w:rFonts w:ascii="Times New Roman" w:hAnsi="Times New Roman" w:cs="Times New Roman"/>
          <w:color w:val="000000"/>
          <w:sz w:val="24"/>
          <w:szCs w:val="24"/>
        </w:rPr>
      </w:pPr>
    </w:p>
    <w:p w:rsidR="00D60729" w:rsidRPr="00CE29E4" w:rsidRDefault="00CE29E4" w:rsidP="00CE29E4">
      <w:pPr>
        <w:spacing w:after="40"/>
        <w:rPr>
          <w:rFonts w:ascii="Times New Roman" w:hAnsi="Times New Roman" w:cs="Times New Roman"/>
          <w:color w:val="000000"/>
          <w:sz w:val="24"/>
          <w:szCs w:val="24"/>
        </w:rPr>
        <w:sectPr w:rsidR="00D60729" w:rsidRPr="00CE29E4" w:rsidSect="00CE29E4">
          <w:type w:val="continuous"/>
          <w:pgSz w:w="12240" w:h="15840"/>
          <w:pgMar w:top="1440" w:right="1440" w:bottom="1440" w:left="1440" w:header="720" w:footer="720" w:gutter="0"/>
          <w:cols w:num="2" w:space="720"/>
          <w:docGrid w:linePitch="360"/>
        </w:sectPr>
      </w:pPr>
      <w:r w:rsidRPr="00A0388C">
        <w:rPr>
          <w:rFonts w:ascii="Times New Roman" w:hAnsi="Times New Roman" w:cs="Times New Roman"/>
          <w:color w:val="000000"/>
          <w:sz w:val="24"/>
          <w:szCs w:val="24"/>
        </w:rPr>
        <w:t>"</w:t>
      </w:r>
      <w:r w:rsidR="00FF6B5C">
        <w:rPr>
          <w:rFonts w:ascii="Times New Roman" w:hAnsi="Times New Roman" w:cs="Times New Roman"/>
          <w:color w:val="000000"/>
          <w:sz w:val="24"/>
          <w:szCs w:val="24"/>
        </w:rPr>
        <w:t>…</w:t>
      </w:r>
      <w:r w:rsidRPr="00A0388C">
        <w:rPr>
          <w:rFonts w:ascii="Times New Roman" w:hAnsi="Times New Roman" w:cs="Times New Roman"/>
          <w:color w:val="000000"/>
          <w:sz w:val="24"/>
          <w:szCs w:val="24"/>
        </w:rPr>
        <w:t>[Circe] rehearsed all the facial expressions which usually awake genial</w:t>
      </w:r>
      <w:r w:rsidR="006A1B23">
        <w:rPr>
          <w:rFonts w:ascii="Times New Roman" w:hAnsi="Times New Roman" w:cs="Times New Roman"/>
          <w:color w:val="000000"/>
          <w:sz w:val="24"/>
          <w:szCs w:val="24"/>
        </w:rPr>
        <w:t>ity between lovers..</w:t>
      </w:r>
    </w:p>
    <w:p w:rsidR="00CE29E4" w:rsidRDefault="00CE29E4" w:rsidP="00CE29E4">
      <w:pPr>
        <w:spacing w:after="40"/>
        <w:rPr>
          <w:rFonts w:ascii="Times New Roman" w:hAnsi="Times New Roman" w:cs="Times New Roman"/>
          <w:sz w:val="24"/>
          <w:szCs w:val="24"/>
        </w:rPr>
        <w:sectPr w:rsidR="00CE29E4" w:rsidSect="00CE29E4">
          <w:type w:val="continuous"/>
          <w:pgSz w:w="12240" w:h="15840"/>
          <w:pgMar w:top="1440" w:right="1440" w:bottom="1440" w:left="1440" w:header="720" w:footer="720" w:gutter="0"/>
          <w:cols w:space="720"/>
          <w:docGrid w:linePitch="360"/>
        </w:sectPr>
      </w:pPr>
    </w:p>
    <w:p w:rsidR="00A0388C" w:rsidRPr="00CE29E4" w:rsidRDefault="00A0388C" w:rsidP="00CE29E4">
      <w:pPr>
        <w:spacing w:after="40"/>
        <w:rPr>
          <w:rFonts w:ascii="Times New Roman" w:hAnsi="Times New Roman" w:cs="Times New Roman"/>
          <w:sz w:val="24"/>
          <w:szCs w:val="24"/>
        </w:rPr>
        <w:sectPr w:rsidR="00A0388C" w:rsidRPr="00CE29E4" w:rsidSect="00CE29E4">
          <w:type w:val="continuous"/>
          <w:pgSz w:w="12240" w:h="15840"/>
          <w:pgMar w:top="1440" w:right="1440" w:bottom="1440" w:left="1440" w:header="720" w:footer="720" w:gutter="0"/>
          <w:cols w:num="2" w:space="720"/>
          <w:docGrid w:linePitch="360"/>
        </w:sectPr>
      </w:pPr>
    </w:p>
    <w:p w:rsidR="00D60729" w:rsidRPr="00EB0C1C" w:rsidRDefault="00D60729" w:rsidP="006A1B23">
      <w:pPr>
        <w:spacing w:after="0"/>
        <w:ind w:left="5760"/>
        <w:rPr>
          <w:rFonts w:ascii="Times New Roman" w:hAnsi="Times New Roman" w:cs="Times New Roman"/>
          <w:sz w:val="24"/>
          <w:szCs w:val="24"/>
        </w:rPr>
      </w:pPr>
      <w:r>
        <w:rPr>
          <w:rFonts w:ascii="Times New Roman" w:hAnsi="Times New Roman" w:cs="Times New Roman"/>
          <w:sz w:val="24"/>
          <w:szCs w:val="24"/>
        </w:rPr>
        <w:lastRenderedPageBreak/>
        <w:t>Translation:</w:t>
      </w:r>
      <w:r>
        <w:rPr>
          <w:rFonts w:ascii="Times New Roman" w:hAnsi="Times New Roman" w:cs="Times New Roman"/>
          <w:sz w:val="24"/>
          <w:szCs w:val="24"/>
        </w:rPr>
        <w:t xml:space="preserve"> P.G.Walsh (1997)</w:t>
      </w:r>
    </w:p>
    <w:p w:rsidR="00D60729" w:rsidRDefault="00D60729" w:rsidP="00D60729">
      <w:pPr>
        <w:spacing w:after="0"/>
        <w:jc w:val="center"/>
        <w:rPr>
          <w:rFonts w:ascii="Times New Roman" w:hAnsi="Times New Roman" w:cs="Times New Roman"/>
          <w:sz w:val="24"/>
          <w:szCs w:val="24"/>
        </w:rPr>
      </w:pPr>
    </w:p>
    <w:p w:rsidR="00CE29E4" w:rsidRDefault="00CE29E4" w:rsidP="00D60729">
      <w:pPr>
        <w:spacing w:after="0"/>
        <w:jc w:val="center"/>
        <w:rPr>
          <w:rFonts w:ascii="Times New Roman" w:hAnsi="Times New Roman" w:cs="Times New Roman"/>
          <w:sz w:val="24"/>
          <w:szCs w:val="24"/>
        </w:rPr>
      </w:pPr>
      <w:r>
        <w:rPr>
          <w:rFonts w:ascii="Times New Roman" w:hAnsi="Times New Roman" w:cs="Times New Roman"/>
          <w:sz w:val="24"/>
          <w:szCs w:val="24"/>
        </w:rPr>
        <w:t>Select Bibliography</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 xml:space="preserve">Beck, Roger. 1973. “Some Observations on the Narrative Technique of Petronius.” </w:t>
      </w:r>
      <w:r>
        <w:rPr>
          <w:rFonts w:ascii="Times New Roman" w:hAnsi="Times New Roman" w:cs="Times New Roman"/>
          <w:i/>
          <w:sz w:val="24"/>
          <w:szCs w:val="24"/>
        </w:rPr>
        <w:t>Phoenix</w:t>
      </w:r>
      <w:r>
        <w:rPr>
          <w:rFonts w:ascii="Times New Roman" w:hAnsi="Times New Roman" w:cs="Times New Roman"/>
          <w:sz w:val="24"/>
          <w:szCs w:val="24"/>
        </w:rPr>
        <w:t xml:space="preserve">. 27: </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ab/>
        <w:t>42-61.</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 xml:space="preserve">Frangoulidis, Stavros. 2008. “Trimalchio as Narrator and Stage Director in the </w:t>
      </w:r>
      <w:r>
        <w:rPr>
          <w:rFonts w:ascii="Times New Roman" w:hAnsi="Times New Roman" w:cs="Times New Roman"/>
          <w:i/>
          <w:sz w:val="24"/>
          <w:szCs w:val="24"/>
        </w:rPr>
        <w:t>Cena</w:t>
      </w:r>
      <w:r>
        <w:rPr>
          <w:rFonts w:ascii="Times New Roman" w:hAnsi="Times New Roman" w:cs="Times New Roman"/>
          <w:sz w:val="24"/>
          <w:szCs w:val="24"/>
        </w:rPr>
        <w:t>: An</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ab/>
        <w:t xml:space="preserve"> Unobserved Parallelism in Petronius’ </w:t>
      </w:r>
      <w:r>
        <w:rPr>
          <w:rFonts w:ascii="Times New Roman" w:hAnsi="Times New Roman" w:cs="Times New Roman"/>
          <w:i/>
          <w:sz w:val="24"/>
          <w:szCs w:val="24"/>
        </w:rPr>
        <w:t>Satyricon</w:t>
      </w:r>
      <w:r>
        <w:rPr>
          <w:rFonts w:ascii="Times New Roman" w:hAnsi="Times New Roman" w:cs="Times New Roman"/>
          <w:sz w:val="24"/>
          <w:szCs w:val="24"/>
        </w:rPr>
        <w:t xml:space="preserve"> </w:t>
      </w:r>
      <w:r>
        <w:rPr>
          <w:rFonts w:ascii="Times New Roman" w:hAnsi="Times New Roman" w:cs="Times New Roman"/>
          <w:i/>
          <w:sz w:val="24"/>
          <w:szCs w:val="24"/>
        </w:rPr>
        <w:t>78</w:t>
      </w:r>
      <w:r>
        <w:rPr>
          <w:rFonts w:ascii="Times New Roman" w:hAnsi="Times New Roman" w:cs="Times New Roman"/>
          <w:sz w:val="24"/>
          <w:szCs w:val="24"/>
        </w:rPr>
        <w:t xml:space="preserve">.” </w:t>
      </w:r>
      <w:r>
        <w:rPr>
          <w:rFonts w:ascii="Times New Roman" w:hAnsi="Times New Roman" w:cs="Times New Roman"/>
          <w:i/>
          <w:sz w:val="24"/>
          <w:szCs w:val="24"/>
        </w:rPr>
        <w:t>Classical Philology</w:t>
      </w:r>
      <w:r>
        <w:rPr>
          <w:rFonts w:ascii="Times New Roman" w:hAnsi="Times New Roman" w:cs="Times New Roman"/>
          <w:sz w:val="24"/>
          <w:szCs w:val="24"/>
        </w:rPr>
        <w:t>. 103: 81-87.</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 xml:space="preserve">Hope, Valerie. 2009. “At Home with the Dead: Roman Funeral Traditions and Trimalchio’s </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ab/>
        <w:t xml:space="preserve">Tomb.” In </w:t>
      </w:r>
      <w:r>
        <w:rPr>
          <w:rFonts w:ascii="Times New Roman" w:hAnsi="Times New Roman" w:cs="Times New Roman"/>
          <w:i/>
          <w:sz w:val="24"/>
          <w:szCs w:val="24"/>
        </w:rPr>
        <w:t>Petronius: A Handbook</w:t>
      </w:r>
      <w:r>
        <w:rPr>
          <w:rFonts w:ascii="Times New Roman" w:hAnsi="Times New Roman" w:cs="Times New Roman"/>
          <w:sz w:val="24"/>
          <w:szCs w:val="24"/>
        </w:rPr>
        <w:t>, edd. Johnathan R.W. Prag and Ian D. Repath: 140-</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ab/>
        <w:t>161.</w:t>
      </w:r>
    </w:p>
    <w:p w:rsidR="00CE29E4" w:rsidRDefault="00CE29E4" w:rsidP="00CE29E4">
      <w:pPr>
        <w:spacing w:after="0"/>
        <w:rPr>
          <w:rFonts w:ascii="Times New Roman" w:hAnsi="Times New Roman" w:cs="Times New Roman"/>
          <w:sz w:val="24"/>
          <w:szCs w:val="24"/>
          <w:lang w:val="en"/>
        </w:rPr>
      </w:pPr>
      <w:r>
        <w:rPr>
          <w:rFonts w:ascii="Times New Roman" w:hAnsi="Times New Roman" w:cs="Times New Roman"/>
          <w:sz w:val="24"/>
          <w:szCs w:val="24"/>
        </w:rPr>
        <w:t>Panayotakis, Costas. 1994.  “</w:t>
      </w:r>
      <w:r w:rsidRPr="007950B8">
        <w:rPr>
          <w:rFonts w:ascii="Times New Roman" w:hAnsi="Times New Roman" w:cs="Times New Roman"/>
          <w:sz w:val="24"/>
          <w:szCs w:val="24"/>
          <w:lang w:val="en"/>
        </w:rPr>
        <w:t xml:space="preserve">Theatrical Elements in the Episode on Board Lichas' Ship </w:t>
      </w:r>
    </w:p>
    <w:p w:rsidR="00CE29E4" w:rsidRPr="005850E4" w:rsidRDefault="00CE29E4" w:rsidP="00CE29E4">
      <w:pPr>
        <w:spacing w:after="0"/>
        <w:rPr>
          <w:rStyle w:val="HTMLCite"/>
          <w:rFonts w:ascii="Times New Roman" w:hAnsi="Times New Roman" w:cs="Times New Roman"/>
          <w:i w:val="0"/>
          <w:iCs w:val="0"/>
          <w:sz w:val="24"/>
          <w:szCs w:val="24"/>
          <w:lang w:val="en"/>
        </w:rPr>
      </w:pPr>
      <w:r>
        <w:rPr>
          <w:rFonts w:ascii="Times New Roman" w:hAnsi="Times New Roman" w:cs="Times New Roman"/>
          <w:sz w:val="24"/>
          <w:szCs w:val="24"/>
          <w:lang w:val="en"/>
        </w:rPr>
        <w:tab/>
      </w:r>
      <w:r w:rsidRPr="007950B8">
        <w:rPr>
          <w:rFonts w:ascii="Times New Roman" w:hAnsi="Times New Roman" w:cs="Times New Roman"/>
          <w:sz w:val="24"/>
          <w:szCs w:val="24"/>
          <w:lang w:val="en"/>
        </w:rPr>
        <w:t xml:space="preserve">(Petronius, "Satyrica" 99.5-115).” </w:t>
      </w:r>
      <w:r w:rsidRPr="007950B8">
        <w:rPr>
          <w:rStyle w:val="HTMLCite"/>
          <w:rFonts w:ascii="Times New Roman" w:hAnsi="Times New Roman" w:cs="Times New Roman"/>
          <w:sz w:val="24"/>
          <w:szCs w:val="24"/>
          <w:lang w:val="en"/>
        </w:rPr>
        <w:t>Mnemosyne</w:t>
      </w:r>
      <w:r>
        <w:rPr>
          <w:rStyle w:val="HTMLCite"/>
          <w:rFonts w:ascii="Times New Roman" w:hAnsi="Times New Roman" w:cs="Times New Roman"/>
          <w:sz w:val="24"/>
          <w:szCs w:val="24"/>
          <w:lang w:val="en"/>
        </w:rPr>
        <w:t xml:space="preserve">. </w:t>
      </w:r>
      <w:r w:rsidRPr="005850E4">
        <w:rPr>
          <w:rStyle w:val="HTMLCite"/>
          <w:rFonts w:ascii="Times New Roman" w:hAnsi="Times New Roman" w:cs="Times New Roman"/>
          <w:sz w:val="24"/>
          <w:szCs w:val="24"/>
          <w:lang w:val="en"/>
        </w:rPr>
        <w:t>47: 596-624.</w:t>
      </w:r>
      <w:r w:rsidRPr="005850E4">
        <w:rPr>
          <w:rStyle w:val="HTMLCite"/>
          <w:rFonts w:ascii="Arial" w:hAnsi="Arial" w:cs="Arial"/>
          <w:sz w:val="20"/>
          <w:szCs w:val="20"/>
          <w:lang w:val="en"/>
        </w:rPr>
        <w:t xml:space="preserve"> </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 xml:space="preserve">Preston, Keith.1915.  “Some Sources of Comic Effect in Petronius.” </w:t>
      </w:r>
      <w:r>
        <w:rPr>
          <w:rFonts w:ascii="Times New Roman" w:hAnsi="Times New Roman" w:cs="Times New Roman"/>
          <w:i/>
          <w:sz w:val="24"/>
          <w:szCs w:val="24"/>
        </w:rPr>
        <w:t>Classical Philology</w:t>
      </w:r>
      <w:r>
        <w:rPr>
          <w:rFonts w:ascii="Times New Roman" w:hAnsi="Times New Roman" w:cs="Times New Roman"/>
          <w:sz w:val="24"/>
          <w:szCs w:val="24"/>
        </w:rPr>
        <w:t>. 10:</w:t>
      </w:r>
    </w:p>
    <w:p w:rsidR="00CE29E4" w:rsidRPr="00C618F7"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ab/>
        <w:t xml:space="preserve"> 260-269.</w:t>
      </w:r>
    </w:p>
    <w:p w:rsidR="00CE29E4" w:rsidRDefault="00CE29E4" w:rsidP="00CE29E4">
      <w:pPr>
        <w:spacing w:after="0"/>
        <w:rPr>
          <w:rFonts w:ascii="Times New Roman" w:hAnsi="Times New Roman" w:cs="Times New Roman"/>
          <w:sz w:val="24"/>
          <w:szCs w:val="24"/>
        </w:rPr>
      </w:pPr>
      <w:r>
        <w:rPr>
          <w:rFonts w:ascii="Times New Roman" w:hAnsi="Times New Roman" w:cs="Times New Roman"/>
          <w:sz w:val="24"/>
          <w:szCs w:val="24"/>
        </w:rPr>
        <w:t xml:space="preserve">Rankin, H.D. 1969. “Some Themes of Concealment and Pretence in Petronius’ </w:t>
      </w:r>
      <w:r>
        <w:rPr>
          <w:rFonts w:ascii="Times New Roman" w:hAnsi="Times New Roman" w:cs="Times New Roman"/>
          <w:i/>
          <w:sz w:val="24"/>
          <w:szCs w:val="24"/>
        </w:rPr>
        <w:t>Satyricon</w:t>
      </w:r>
      <w:r>
        <w:rPr>
          <w:rFonts w:ascii="Times New Roman" w:hAnsi="Times New Roman" w:cs="Times New Roman"/>
          <w:sz w:val="24"/>
          <w:szCs w:val="24"/>
        </w:rPr>
        <w:t xml:space="preserve">.” </w:t>
      </w:r>
    </w:p>
    <w:p w:rsidR="00CE29E4" w:rsidRPr="00CE29E4" w:rsidRDefault="00CE29E4" w:rsidP="00D6072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Societe d’Etudes Latines de Bruxelles</w:t>
      </w:r>
      <w:r>
        <w:rPr>
          <w:rFonts w:ascii="Times New Roman" w:hAnsi="Times New Roman" w:cs="Times New Roman"/>
          <w:sz w:val="24"/>
          <w:szCs w:val="24"/>
        </w:rPr>
        <w:t>. 28: 99-119.</w:t>
      </w:r>
    </w:p>
    <w:sectPr w:rsidR="00CE29E4" w:rsidRPr="00CE29E4" w:rsidSect="00A038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51" w:rsidRDefault="005A3151" w:rsidP="00A0388C">
      <w:pPr>
        <w:spacing w:after="0" w:line="240" w:lineRule="auto"/>
      </w:pPr>
      <w:r>
        <w:separator/>
      </w:r>
    </w:p>
  </w:endnote>
  <w:endnote w:type="continuationSeparator" w:id="0">
    <w:p w:rsidR="005A3151" w:rsidRDefault="005A3151" w:rsidP="00A0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51" w:rsidRDefault="005A3151" w:rsidP="00A0388C">
      <w:pPr>
        <w:spacing w:after="0" w:line="240" w:lineRule="auto"/>
      </w:pPr>
      <w:r>
        <w:separator/>
      </w:r>
    </w:p>
  </w:footnote>
  <w:footnote w:type="continuationSeparator" w:id="0">
    <w:p w:rsidR="005A3151" w:rsidRDefault="005A3151" w:rsidP="00A0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C84"/>
    <w:multiLevelType w:val="hybridMultilevel"/>
    <w:tmpl w:val="3164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93F66"/>
    <w:multiLevelType w:val="hybridMultilevel"/>
    <w:tmpl w:val="C3E25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8C"/>
    <w:rsid w:val="004C6235"/>
    <w:rsid w:val="005A3151"/>
    <w:rsid w:val="006A1B23"/>
    <w:rsid w:val="006A742C"/>
    <w:rsid w:val="00A0388C"/>
    <w:rsid w:val="00A458CF"/>
    <w:rsid w:val="00B102B5"/>
    <w:rsid w:val="00CE29E4"/>
    <w:rsid w:val="00D60729"/>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A67EC-00C1-44BE-BBA1-6061962B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88C"/>
    <w:pPr>
      <w:ind w:left="720"/>
      <w:contextualSpacing/>
    </w:pPr>
  </w:style>
  <w:style w:type="character" w:styleId="FootnoteReference">
    <w:name w:val="footnote reference"/>
    <w:basedOn w:val="DefaultParagraphFont"/>
    <w:uiPriority w:val="99"/>
    <w:semiHidden/>
    <w:unhideWhenUsed/>
    <w:rsid w:val="00A0388C"/>
    <w:rPr>
      <w:vertAlign w:val="superscript"/>
    </w:rPr>
  </w:style>
  <w:style w:type="paragraph" w:styleId="FootnoteText">
    <w:name w:val="footnote text"/>
    <w:basedOn w:val="Normal"/>
    <w:link w:val="FootnoteTextChar"/>
    <w:uiPriority w:val="99"/>
    <w:semiHidden/>
    <w:unhideWhenUsed/>
    <w:rsid w:val="00A03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88C"/>
    <w:rPr>
      <w:sz w:val="20"/>
      <w:szCs w:val="20"/>
    </w:rPr>
  </w:style>
  <w:style w:type="character" w:styleId="HTMLCite">
    <w:name w:val="HTML Cite"/>
    <w:basedOn w:val="DefaultParagraphFont"/>
    <w:uiPriority w:val="99"/>
    <w:semiHidden/>
    <w:unhideWhenUsed/>
    <w:rsid w:val="00CE2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Berardi</dc:creator>
  <cp:keywords/>
  <dc:description/>
  <cp:lastModifiedBy>Emily Berardi</cp:lastModifiedBy>
  <cp:revision>5</cp:revision>
  <dcterms:created xsi:type="dcterms:W3CDTF">2016-03-05T03:28:00Z</dcterms:created>
  <dcterms:modified xsi:type="dcterms:W3CDTF">2016-03-07T02:27:00Z</dcterms:modified>
</cp:coreProperties>
</file>