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3F353" w14:textId="5688E377" w:rsidR="00E5010E" w:rsidRDefault="00E5010E" w:rsidP="002F5401">
      <w:pPr>
        <w:jc w:val="both"/>
      </w:pPr>
      <w:r>
        <w:t>Arum Park</w:t>
      </w:r>
      <w:r w:rsidR="002F5401">
        <w:t>, University of Arizona</w:t>
      </w:r>
      <w:r w:rsidR="002F5401">
        <w:tab/>
      </w:r>
      <w:r w:rsidR="002F5401">
        <w:tab/>
      </w:r>
      <w:r w:rsidR="002F5401">
        <w:tab/>
      </w:r>
      <w:r w:rsidR="002F5401">
        <w:tab/>
      </w:r>
      <w:r w:rsidR="002F5401">
        <w:tab/>
      </w:r>
      <w:r w:rsidR="002F5401">
        <w:tab/>
      </w:r>
      <w:r w:rsidR="002F5401">
        <w:tab/>
      </w:r>
      <w:r>
        <w:t>CAMWS 2016</w:t>
      </w:r>
    </w:p>
    <w:p w14:paraId="56495400" w14:textId="5B6D335F" w:rsidR="00E5010E" w:rsidRDefault="00404C26" w:rsidP="002F5401">
      <w:hyperlink r:id="rId6" w:history="1">
        <w:r w:rsidR="002F5401" w:rsidRPr="00E12283">
          <w:rPr>
            <w:rStyle w:val="Hyperlink"/>
          </w:rPr>
          <w:t>arumpark@email.arizona.edu</w:t>
        </w:r>
      </w:hyperlink>
      <w:r w:rsidR="002F5401">
        <w:tab/>
      </w:r>
      <w:r w:rsidR="002F5401">
        <w:tab/>
      </w:r>
      <w:r w:rsidR="002F5401">
        <w:tab/>
      </w:r>
      <w:r w:rsidR="002F5401">
        <w:tab/>
      </w:r>
      <w:r w:rsidR="002F5401">
        <w:tab/>
      </w:r>
      <w:r w:rsidR="002F5401">
        <w:tab/>
      </w:r>
      <w:r w:rsidR="002F5401">
        <w:tab/>
        <w:t xml:space="preserve">      </w:t>
      </w:r>
      <w:r w:rsidR="00E5010E">
        <w:t>Williamsburg, VA</w:t>
      </w:r>
    </w:p>
    <w:p w14:paraId="695DB7F1" w14:textId="77777777" w:rsidR="00E5010E" w:rsidRDefault="00E5010E"/>
    <w:p w14:paraId="23A9889D" w14:textId="39EAB7DE" w:rsidR="002F5401" w:rsidRDefault="002F5401" w:rsidP="002F5401">
      <w:pPr>
        <w:jc w:val="center"/>
        <w:rPr>
          <w:b/>
          <w:i/>
        </w:rPr>
      </w:pPr>
      <w:r w:rsidRPr="002F5401">
        <w:rPr>
          <w:b/>
        </w:rPr>
        <w:t xml:space="preserve">Pseudo-Hera, Pseudo-Aeneas: a Pindaric Intertext in Vergil’s </w:t>
      </w:r>
      <w:r w:rsidRPr="002F5401">
        <w:rPr>
          <w:b/>
          <w:i/>
        </w:rPr>
        <w:t>Aeneid</w:t>
      </w:r>
    </w:p>
    <w:p w14:paraId="7C9C8867" w14:textId="77777777" w:rsidR="002F5401" w:rsidRPr="002F5401" w:rsidRDefault="002F5401" w:rsidP="002F5401">
      <w:pPr>
        <w:jc w:val="center"/>
        <w:rPr>
          <w:b/>
        </w:rPr>
      </w:pPr>
    </w:p>
    <w:p w14:paraId="7C47D6E5" w14:textId="46B8B128" w:rsidR="00E5010E" w:rsidRDefault="00D42211" w:rsidP="00E5010E">
      <w:r>
        <w:t xml:space="preserve">1.  </w:t>
      </w:r>
      <w:r w:rsidR="00E5010E">
        <w:t>tum dea nube cava tenuem sine viribus umbram</w:t>
      </w:r>
    </w:p>
    <w:p w14:paraId="6B0C0520" w14:textId="77777777" w:rsidR="00E5010E" w:rsidRDefault="00E5010E" w:rsidP="00E5010E">
      <w:r>
        <w:t>in faciem Aeneae (</w:t>
      </w:r>
      <w:r w:rsidRPr="002051E1">
        <w:rPr>
          <w:i/>
          <w:u w:val="single"/>
        </w:rPr>
        <w:t>visu mirabile monstrum</w:t>
      </w:r>
      <w:r>
        <w:t>)</w:t>
      </w:r>
    </w:p>
    <w:p w14:paraId="472D993B" w14:textId="77777777" w:rsidR="00E5010E" w:rsidRDefault="00E5010E" w:rsidP="00E5010E">
      <w:r>
        <w:t>Dardaniis ornat telis clipeumque iubasque</w:t>
      </w:r>
    </w:p>
    <w:p w14:paraId="3B5C48F8" w14:textId="77777777" w:rsidR="00E5010E" w:rsidRDefault="00E5010E" w:rsidP="00E5010E">
      <w:r>
        <w:t xml:space="preserve">divini </w:t>
      </w:r>
      <w:r w:rsidRPr="002051E1">
        <w:rPr>
          <w:i/>
          <w:u w:val="single"/>
        </w:rPr>
        <w:t>adsimulat</w:t>
      </w:r>
      <w:r>
        <w:t xml:space="preserve"> capitis, dat </w:t>
      </w:r>
      <w:r w:rsidRPr="002051E1">
        <w:rPr>
          <w:i/>
          <w:u w:val="single"/>
        </w:rPr>
        <w:t>inania verba</w:t>
      </w:r>
      <w:r>
        <w:t>,</w:t>
      </w:r>
    </w:p>
    <w:p w14:paraId="5E683872" w14:textId="77777777" w:rsidR="00E5010E" w:rsidRDefault="00E5010E" w:rsidP="00E5010E">
      <w:r w:rsidRPr="005D4EDE">
        <w:t xml:space="preserve">dat </w:t>
      </w:r>
      <w:r w:rsidRPr="002051E1">
        <w:rPr>
          <w:i/>
          <w:u w:val="single"/>
        </w:rPr>
        <w:t>sine mente sonum</w:t>
      </w:r>
      <w:r w:rsidRPr="00B7103A">
        <w:rPr>
          <w:i/>
        </w:rPr>
        <w:t xml:space="preserve"> </w:t>
      </w:r>
      <w:r w:rsidRPr="005D4EDE">
        <w:t>gressusque</w:t>
      </w:r>
      <w:r w:rsidRPr="00B7103A">
        <w:rPr>
          <w:i/>
        </w:rPr>
        <w:t xml:space="preserve"> </w:t>
      </w:r>
      <w:r w:rsidRPr="002051E1">
        <w:rPr>
          <w:i/>
          <w:u w:val="single"/>
        </w:rPr>
        <w:t>effingit</w:t>
      </w:r>
      <w:r w:rsidRPr="00B7103A">
        <w:rPr>
          <w:i/>
        </w:rPr>
        <w:t xml:space="preserve"> </w:t>
      </w:r>
      <w:r w:rsidRPr="005D4EDE">
        <w:t>euntis</w:t>
      </w:r>
      <w:r>
        <w:t>,</w:t>
      </w:r>
    </w:p>
    <w:p w14:paraId="5F4A4BE6" w14:textId="77777777" w:rsidR="00E5010E" w:rsidRDefault="00E5010E" w:rsidP="00E5010E">
      <w:r>
        <w:t>morte obita qualis fama est volitare figuras</w:t>
      </w:r>
    </w:p>
    <w:p w14:paraId="404E9244" w14:textId="77777777" w:rsidR="00E5010E" w:rsidRDefault="00E5010E" w:rsidP="00E5010E">
      <w:r>
        <w:t>aut quae sopitos deludunt somnia sensus. (</w:t>
      </w:r>
      <w:r>
        <w:rPr>
          <w:i/>
        </w:rPr>
        <w:t>Aen</w:t>
      </w:r>
      <w:r>
        <w:t>. 10.636-42)</w:t>
      </w:r>
    </w:p>
    <w:p w14:paraId="214E2122" w14:textId="77777777" w:rsidR="00E5010E" w:rsidRDefault="00E5010E" w:rsidP="00E5010E"/>
    <w:p w14:paraId="5F5774A5" w14:textId="7B486984" w:rsidR="00D42211" w:rsidRPr="00D42211" w:rsidRDefault="00D42211" w:rsidP="00D42211">
      <w:r w:rsidRPr="00D42211">
        <w:t xml:space="preserve">Then the goddess made an insubstantial, strengthless phantom </w:t>
      </w:r>
      <w:r>
        <w:t xml:space="preserve">of hollow cloud in the shape of </w:t>
      </w:r>
      <w:r w:rsidRPr="00D42211">
        <w:t xml:space="preserve">Aeneas, </w:t>
      </w:r>
      <w:r w:rsidRPr="00D42211">
        <w:rPr>
          <w:i/>
          <w:u w:val="single"/>
        </w:rPr>
        <w:t>a wonder marvelous to behold</w:t>
      </w:r>
      <w:r w:rsidRPr="00D42211">
        <w:t xml:space="preserve">, and decked it out with Trojan weapons; she </w:t>
      </w:r>
      <w:r w:rsidR="005D4EDE">
        <w:rPr>
          <w:i/>
          <w:u w:val="single"/>
        </w:rPr>
        <w:t>created imitations</w:t>
      </w:r>
      <w:r w:rsidR="005D4EDE" w:rsidRPr="005D4EDE">
        <w:t xml:space="preserve"> of</w:t>
      </w:r>
      <w:r w:rsidRPr="00D42211">
        <w:t xml:space="preserve"> the shield and crests of the godlike hero, </w:t>
      </w:r>
      <w:r w:rsidRPr="005D4EDE">
        <w:t>gave it</w:t>
      </w:r>
      <w:r w:rsidRPr="00D42211">
        <w:rPr>
          <w:i/>
          <w:u w:val="single"/>
        </w:rPr>
        <w:t xml:space="preserve"> empty words and mindless utterance, and fashioned</w:t>
      </w:r>
      <w:r w:rsidRPr="005D4EDE">
        <w:rPr>
          <w:i/>
        </w:rPr>
        <w:t xml:space="preserve"> </w:t>
      </w:r>
      <w:r w:rsidRPr="005D4EDE">
        <w:t>for it the step of a walking man</w:t>
      </w:r>
      <w:r w:rsidRPr="00D42211">
        <w:t>, just like the shades which are said to flit about after death, or the dreams that delude the slumbering senses.</w:t>
      </w:r>
      <w:r w:rsidRPr="00D42211">
        <w:rPr>
          <w:vertAlign w:val="superscript"/>
        </w:rPr>
        <w:footnoteReference w:id="1"/>
      </w:r>
    </w:p>
    <w:p w14:paraId="3F8E73B9" w14:textId="77777777" w:rsidR="00C258EF" w:rsidRDefault="00C258EF" w:rsidP="00C258EF">
      <w:pPr>
        <w:ind w:left="720" w:hanging="720"/>
      </w:pPr>
    </w:p>
    <w:p w14:paraId="2CE1A8A0" w14:textId="6962BBEB" w:rsidR="00D42211" w:rsidRDefault="00D42211" w:rsidP="00D42211">
      <w:r>
        <w:t>2.  αὐτὰρ ὃ εἴδωλον τεῦξ᾽ ἀργυρότοξος Ἀπόλλων</w:t>
      </w:r>
    </w:p>
    <w:p w14:paraId="680ED571" w14:textId="77777777" w:rsidR="00D42211" w:rsidRDefault="00D42211" w:rsidP="00D42211">
      <w:r>
        <w:t>αὐτῷ τ᾽ Αἰνείᾳ ἴκελον καὶ τεύχεσι τοῖον. (</w:t>
      </w:r>
      <w:r>
        <w:rPr>
          <w:i/>
        </w:rPr>
        <w:t>Il</w:t>
      </w:r>
      <w:r>
        <w:t>. 5.449-50)</w:t>
      </w:r>
    </w:p>
    <w:p w14:paraId="1C1F4FA8" w14:textId="77777777" w:rsidR="00D42211" w:rsidRDefault="00D42211" w:rsidP="00D42211">
      <w:pPr>
        <w:ind w:left="720"/>
      </w:pPr>
    </w:p>
    <w:p w14:paraId="783FA051" w14:textId="77777777" w:rsidR="00D42211" w:rsidRPr="001F15F7" w:rsidRDefault="00D42211" w:rsidP="00D42211">
      <w:r>
        <w:t>But Apollo of the silver bow fashioned a wraith in the likeness of Aeneas himself and in armor like his.</w:t>
      </w:r>
      <w:r>
        <w:rPr>
          <w:rStyle w:val="FootnoteReference"/>
        </w:rPr>
        <w:footnoteReference w:id="2"/>
      </w:r>
    </w:p>
    <w:p w14:paraId="56FA4BF5" w14:textId="36711FE7" w:rsidR="00C258EF" w:rsidRDefault="00C258EF" w:rsidP="00C258EF">
      <w:pPr>
        <w:ind w:left="720" w:hanging="720"/>
      </w:pPr>
    </w:p>
    <w:p w14:paraId="116AE639" w14:textId="20865F05" w:rsidR="008C56FB" w:rsidRDefault="008C56FB" w:rsidP="008C56FB">
      <w:r>
        <w:t>3.  Ἥρα δὲ μεμφθεῖσ’ οὕνεκ’ οὐ νικᾶι θεὰς</w:t>
      </w:r>
    </w:p>
    <w:p w14:paraId="4D0ECB0F" w14:textId="77777777" w:rsidR="008C56FB" w:rsidRDefault="008C56FB" w:rsidP="008C56FB">
      <w:r>
        <w:t>ἐξηνέμωσε τἄμ’ Ἀλεξάνδρωι λέχη,</w:t>
      </w:r>
    </w:p>
    <w:p w14:paraId="4B90DAB0" w14:textId="77777777" w:rsidR="008C56FB" w:rsidRDefault="008C56FB" w:rsidP="008C56FB">
      <w:r>
        <w:t>δίδωσι δ’ οὐκ ἔμ’ ἀλλ’ ὁμοιώσασ’ ἐμοὶ</w:t>
      </w:r>
    </w:p>
    <w:p w14:paraId="0F225C6B" w14:textId="77777777" w:rsidR="008C56FB" w:rsidRDefault="008C56FB" w:rsidP="008C56FB">
      <w:r w:rsidRPr="002051E1">
        <w:rPr>
          <w:u w:val="single"/>
        </w:rPr>
        <w:t>εἴδωλον</w:t>
      </w:r>
      <w:r>
        <w:t xml:space="preserve"> ἔμπνουν </w:t>
      </w:r>
      <w:r w:rsidRPr="002051E1">
        <w:rPr>
          <w:u w:val="single"/>
        </w:rPr>
        <w:t>οὐρανοῦ</w:t>
      </w:r>
      <w:r>
        <w:t xml:space="preserve"> ξυνθεῖσ’ </w:t>
      </w:r>
      <w:r w:rsidRPr="002051E1">
        <w:rPr>
          <w:u w:val="single"/>
        </w:rPr>
        <w:t>ἄπο</w:t>
      </w:r>
    </w:p>
    <w:p w14:paraId="34403D7A" w14:textId="77777777" w:rsidR="008C56FB" w:rsidRDefault="008C56FB" w:rsidP="008C56FB">
      <w:r>
        <w:t>Πριάμου τυράννου παιδί· καὶ δοκεῖ μ’ ἔχειν,</w:t>
      </w:r>
    </w:p>
    <w:p w14:paraId="1F834B89" w14:textId="77777777" w:rsidR="008C56FB" w:rsidRDefault="008C56FB" w:rsidP="008C56FB">
      <w:r>
        <w:t xml:space="preserve">κενὴν δόκησιν, οὐκ ἔχων. (Eur., </w:t>
      </w:r>
      <w:r>
        <w:rPr>
          <w:i/>
        </w:rPr>
        <w:t>Hel</w:t>
      </w:r>
      <w:r>
        <w:t>. 31-36)</w:t>
      </w:r>
    </w:p>
    <w:p w14:paraId="0AF594EC" w14:textId="77777777" w:rsidR="008C56FB" w:rsidRDefault="008C56FB" w:rsidP="008C56FB"/>
    <w:p w14:paraId="0A5EE686" w14:textId="40A2895B" w:rsidR="008C56FB" w:rsidRDefault="008C56FB" w:rsidP="008C56FB">
      <w:r>
        <w:t xml:space="preserve">But Hera, full of resentment because she had not defeated the others, blew my marriage with Alexander to the winds and gave King Priam’s son not myself, but a living </w:t>
      </w:r>
      <w:r w:rsidRPr="002051E1">
        <w:rPr>
          <w:i/>
          <w:u w:val="single"/>
        </w:rPr>
        <w:t>phantom</w:t>
      </w:r>
      <w:r>
        <w:t xml:space="preserve"> </w:t>
      </w:r>
      <w:r w:rsidR="002051E1">
        <w:t>(</w:t>
      </w:r>
      <w:r w:rsidR="002051E1">
        <w:rPr>
          <w:i/>
        </w:rPr>
        <w:t>eidolon</w:t>
      </w:r>
      <w:r w:rsidR="002051E1">
        <w:t>)</w:t>
      </w:r>
      <w:r w:rsidR="002051E1">
        <w:rPr>
          <w:i/>
        </w:rPr>
        <w:t xml:space="preserve"> </w:t>
      </w:r>
      <w:r>
        <w:t xml:space="preserve">fashioned </w:t>
      </w:r>
      <w:r w:rsidRPr="002051E1">
        <w:rPr>
          <w:i/>
          <w:u w:val="single"/>
        </w:rPr>
        <w:t>out of the upper air</w:t>
      </w:r>
      <w:r>
        <w:t xml:space="preserve"> to look like me. He believed it was me he held—an empty belief, because he didn’t.</w:t>
      </w:r>
      <w:r>
        <w:rPr>
          <w:rStyle w:val="FootnoteReference"/>
        </w:rPr>
        <w:footnoteReference w:id="3"/>
      </w:r>
    </w:p>
    <w:p w14:paraId="36590D95" w14:textId="77777777" w:rsidR="008C56FB" w:rsidRDefault="008C56FB" w:rsidP="00C258EF">
      <w:pPr>
        <w:ind w:left="720" w:hanging="720"/>
      </w:pPr>
    </w:p>
    <w:p w14:paraId="56C6D004" w14:textId="77777777" w:rsidR="002F5401" w:rsidRDefault="002F5401">
      <w:r>
        <w:br w:type="page"/>
      </w:r>
    </w:p>
    <w:p w14:paraId="0658E4EA" w14:textId="7DD10557" w:rsidR="00DE0515" w:rsidRPr="00DE0515" w:rsidRDefault="00DE0515" w:rsidP="00DE0515">
      <w:pPr>
        <w:ind w:left="720" w:hanging="720"/>
      </w:pPr>
      <w:r w:rsidRPr="00DE0515">
        <w:lastRenderedPageBreak/>
        <w:t xml:space="preserve">4. </w:t>
      </w:r>
      <w:r w:rsidR="00A601E0">
        <w:t xml:space="preserve"> </w:t>
      </w:r>
      <w:r w:rsidRPr="00DE0515">
        <w:t>ὅτι τε μεγαλοκευθέεσσιν ἔν ποτε θαλάμοις</w:t>
      </w:r>
    </w:p>
    <w:p w14:paraId="1B52AB85" w14:textId="77777777" w:rsidR="00DE0515" w:rsidRPr="00DE0515" w:rsidRDefault="00DE0515" w:rsidP="00DE0515">
      <w:pPr>
        <w:ind w:left="720" w:hanging="720"/>
      </w:pPr>
      <w:r w:rsidRPr="00DE0515">
        <w:t>Διὸς ἄκοιτιν ἐπειρᾶτο. χρὴ δὲ κατ’ αὐτὸν αἰεὶ παντὸς ὁρᾶν μέτρον.</w:t>
      </w:r>
    </w:p>
    <w:p w14:paraId="4D8ABDDF" w14:textId="77777777" w:rsidR="00DE0515" w:rsidRPr="00DE0515" w:rsidRDefault="00DE0515" w:rsidP="00DE0515">
      <w:pPr>
        <w:ind w:left="720" w:hanging="720"/>
      </w:pPr>
      <w:r w:rsidRPr="00DE0515">
        <w:t>εὐναὶ δὲ παράτροποι ἐς κακότατ’ ἀθρόαν</w:t>
      </w:r>
    </w:p>
    <w:p w14:paraId="5EA2E276" w14:textId="77777777" w:rsidR="00DE0515" w:rsidRPr="00DE0515" w:rsidRDefault="00DE0515" w:rsidP="00DE0515">
      <w:pPr>
        <w:ind w:left="720" w:hanging="720"/>
      </w:pPr>
      <w:r w:rsidRPr="00DE0515">
        <w:t>ἔβαλον· ποτὶ καὶ τὸν ἵκοντ’· ἐπεὶ νεφέλᾳ παρελέξατο</w:t>
      </w:r>
    </w:p>
    <w:p w14:paraId="29D6A987" w14:textId="77777777" w:rsidR="00DE0515" w:rsidRPr="00DE0515" w:rsidRDefault="00DE0515" w:rsidP="00DE0515">
      <w:pPr>
        <w:ind w:left="720" w:hanging="720"/>
      </w:pPr>
      <w:r w:rsidRPr="00DE0515">
        <w:rPr>
          <w:u w:val="single"/>
        </w:rPr>
        <w:t>ψεῦδος γλυκὺ</w:t>
      </w:r>
      <w:r w:rsidRPr="00DE0515">
        <w:t xml:space="preserve"> μεθέπων ἄϊδρις ἀνήρ· </w:t>
      </w:r>
    </w:p>
    <w:p w14:paraId="2B325FA9" w14:textId="77777777" w:rsidR="00DE0515" w:rsidRPr="00DE0515" w:rsidRDefault="00DE0515" w:rsidP="00DE0515">
      <w:pPr>
        <w:ind w:left="720" w:hanging="720"/>
      </w:pPr>
      <w:r w:rsidRPr="00DE0515">
        <w:t xml:space="preserve">εἶδος γὰρ ὑπεροχωτάτᾳ πρέπεν Οὐρανιᾶν </w:t>
      </w:r>
    </w:p>
    <w:p w14:paraId="468C920A" w14:textId="77777777" w:rsidR="00DE0515" w:rsidRPr="00DE0515" w:rsidRDefault="00DE0515" w:rsidP="00DE0515">
      <w:pPr>
        <w:ind w:left="720" w:hanging="720"/>
      </w:pPr>
      <w:r w:rsidRPr="00DE0515">
        <w:t xml:space="preserve">θυγατέρι Κˈρόνου· ἅντε δόλον αὐτῷ θέσαν </w:t>
      </w:r>
    </w:p>
    <w:p w14:paraId="19CB5397" w14:textId="77777777" w:rsidR="00DE0515" w:rsidRPr="00DE0515" w:rsidRDefault="00DE0515" w:rsidP="00DE0515">
      <w:pPr>
        <w:ind w:left="720" w:hanging="720"/>
      </w:pPr>
      <w:r w:rsidRPr="00DE0515">
        <w:t xml:space="preserve">Ζηνὸς παλάμαι, </w:t>
      </w:r>
      <w:r w:rsidRPr="00DE0515">
        <w:rPr>
          <w:u w:val="single"/>
        </w:rPr>
        <w:t>καλὸν πῆμα</w:t>
      </w:r>
      <w:r w:rsidRPr="00DE0515">
        <w:t xml:space="preserve">.  (Pindar, </w:t>
      </w:r>
      <w:r w:rsidRPr="00DE0515">
        <w:rPr>
          <w:i/>
        </w:rPr>
        <w:t>Pyth</w:t>
      </w:r>
      <w:r w:rsidRPr="00DE0515">
        <w:t>. 2.33-40)</w:t>
      </w:r>
    </w:p>
    <w:p w14:paraId="2852860C" w14:textId="77777777" w:rsidR="00DE0515" w:rsidRPr="00DE0515" w:rsidRDefault="00DE0515" w:rsidP="00DE0515">
      <w:pPr>
        <w:ind w:left="720" w:hanging="720"/>
      </w:pPr>
    </w:p>
    <w:p w14:paraId="00ED4B10" w14:textId="367C4A5E" w:rsidR="00DE0515" w:rsidRPr="00DE0515" w:rsidRDefault="00DE0515" w:rsidP="00DE0515">
      <w:r w:rsidRPr="00DE0515">
        <w:t>…because once in the great depths of her chambers he made an attempt on Zeus’ wife. One must always measure everything by one’s own station. Aberrant acts of love ca</w:t>
      </w:r>
      <w:r w:rsidR="002051E1">
        <w:t>s</w:t>
      </w:r>
      <w:bookmarkStart w:id="0" w:name="_GoBack"/>
      <w:bookmarkEnd w:id="0"/>
      <w:r w:rsidRPr="00DE0515">
        <w:t>t one into the thick of trouble; they came upon him too, because he lay with a cloud, an ignorant man in pursuit of a sweet lie, for it resembled in looks the foremost heavenly goddess, Kronos’ daughter. Zeus’ wiles set it as a snare for him, a beautiful affliction.</w:t>
      </w:r>
      <w:r w:rsidRPr="00DE0515">
        <w:rPr>
          <w:vertAlign w:val="superscript"/>
        </w:rPr>
        <w:footnoteReference w:id="4"/>
      </w:r>
    </w:p>
    <w:p w14:paraId="2641473C" w14:textId="77777777" w:rsidR="00DE0515" w:rsidRDefault="00DE0515" w:rsidP="00C258EF">
      <w:pPr>
        <w:pBdr>
          <w:bottom w:val="single" w:sz="6" w:space="1" w:color="auto"/>
        </w:pBdr>
        <w:ind w:left="720" w:hanging="720"/>
      </w:pPr>
    </w:p>
    <w:p w14:paraId="29FBF4EA" w14:textId="77777777" w:rsidR="002F5401" w:rsidRDefault="002F5401" w:rsidP="002F5401">
      <w:pPr>
        <w:ind w:left="720" w:hanging="720"/>
        <w:jc w:val="center"/>
      </w:pPr>
    </w:p>
    <w:p w14:paraId="5B40E858" w14:textId="641E58D9" w:rsidR="00C258EF" w:rsidRPr="002F5401" w:rsidRDefault="00C258EF" w:rsidP="00C258EF">
      <w:pPr>
        <w:ind w:left="720" w:hanging="720"/>
        <w:jc w:val="center"/>
        <w:rPr>
          <w:b/>
        </w:rPr>
      </w:pPr>
      <w:r w:rsidRPr="002F5401">
        <w:rPr>
          <w:b/>
        </w:rPr>
        <w:t>Select Bibliography</w:t>
      </w:r>
    </w:p>
    <w:p w14:paraId="41EF6F14" w14:textId="77777777" w:rsidR="002F5401" w:rsidRDefault="002F5401" w:rsidP="00C258EF">
      <w:pPr>
        <w:ind w:left="720" w:hanging="720"/>
        <w:jc w:val="center"/>
      </w:pPr>
    </w:p>
    <w:p w14:paraId="71EE38CE" w14:textId="77777777" w:rsidR="002F5401" w:rsidRDefault="002F5401" w:rsidP="002F5401">
      <w:pPr>
        <w:ind w:left="720" w:hanging="720"/>
      </w:pPr>
      <w:r>
        <w:t xml:space="preserve">Burian, Peter, ed. 2007. </w:t>
      </w:r>
      <w:r w:rsidRPr="0082790B">
        <w:rPr>
          <w:i/>
        </w:rPr>
        <w:t>Euripides. Helen</w:t>
      </w:r>
      <w:r>
        <w:rPr>
          <w:i/>
        </w:rPr>
        <w:t>. With Introduction, Translation and Commentary</w:t>
      </w:r>
      <w:r>
        <w:t xml:space="preserve">. Oxford. </w:t>
      </w:r>
    </w:p>
    <w:p w14:paraId="5665F190" w14:textId="77777777" w:rsidR="002F5401" w:rsidRDefault="002F5401" w:rsidP="002F5401">
      <w:pPr>
        <w:ind w:left="720" w:hanging="720"/>
      </w:pPr>
      <w:r>
        <w:t xml:space="preserve">Conington, John and Henry Nettleship, eds. 1963. </w:t>
      </w:r>
      <w:r>
        <w:rPr>
          <w:i/>
        </w:rPr>
        <w:t>The Works of Virgil with a Commentary</w:t>
      </w:r>
      <w:r>
        <w:t>. Vol. 3. Hildesheim.</w:t>
      </w:r>
    </w:p>
    <w:p w14:paraId="1D4E9147" w14:textId="76FCE0C9" w:rsidR="002F5401" w:rsidRPr="00CA0330" w:rsidRDefault="002F5401" w:rsidP="002F5401">
      <w:pPr>
        <w:ind w:left="720" w:hanging="720"/>
        <w:rPr>
          <w:i/>
        </w:rPr>
      </w:pPr>
      <w:r>
        <w:t xml:space="preserve">Feeney, Denis. 1999. “Epic Violence, Epic Order: Killings, Catalogues, and the Role of the Reader in </w:t>
      </w:r>
      <w:r w:rsidRPr="00CA0330">
        <w:rPr>
          <w:i/>
        </w:rPr>
        <w:t>Aeneid</w:t>
      </w:r>
      <w:r>
        <w:t xml:space="preserve"> 10.” In </w:t>
      </w:r>
      <w:r>
        <w:rPr>
          <w:i/>
        </w:rPr>
        <w:t xml:space="preserve">Reading Vergil’s </w:t>
      </w:r>
      <w:r>
        <w:t>Aeneid</w:t>
      </w:r>
      <w:r>
        <w:rPr>
          <w:i/>
        </w:rPr>
        <w:t xml:space="preserve">, </w:t>
      </w:r>
      <w:r w:rsidRPr="00CA0330">
        <w:t>ed. Christine Perkell</w:t>
      </w:r>
      <w:r>
        <w:t>, 178-195</w:t>
      </w:r>
      <w:r w:rsidRPr="00CA0330">
        <w:t xml:space="preserve">. </w:t>
      </w:r>
      <w:r>
        <w:t>Norman.</w:t>
      </w:r>
    </w:p>
    <w:p w14:paraId="6A282430" w14:textId="77777777" w:rsidR="002F5401" w:rsidRDefault="002F5401" w:rsidP="002F5401">
      <w:pPr>
        <w:ind w:left="720" w:hanging="720"/>
      </w:pPr>
      <w:r>
        <w:t xml:space="preserve">Hahn, E. Adelaide. 1961. “Body and Soul in Vergil.” </w:t>
      </w:r>
      <w:r>
        <w:rPr>
          <w:i/>
        </w:rPr>
        <w:t xml:space="preserve">TAPA </w:t>
      </w:r>
      <w:r>
        <w:t xml:space="preserve">92: 193-219. </w:t>
      </w:r>
    </w:p>
    <w:p w14:paraId="210125A6" w14:textId="77777777" w:rsidR="002F5401" w:rsidRDefault="002F5401" w:rsidP="002F5401">
      <w:pPr>
        <w:ind w:left="720" w:hanging="720"/>
      </w:pPr>
      <w:r>
        <w:t xml:space="preserve">Harrison, S.J. 1991. </w:t>
      </w:r>
      <w:r>
        <w:rPr>
          <w:i/>
        </w:rPr>
        <w:t xml:space="preserve">Vergil, </w:t>
      </w:r>
      <w:r>
        <w:t xml:space="preserve">Aeneid 10 </w:t>
      </w:r>
      <w:r>
        <w:rPr>
          <w:i/>
        </w:rPr>
        <w:t>with Introduction, Translation, and Commentary</w:t>
      </w:r>
      <w:r>
        <w:t>. Oxford.</w:t>
      </w:r>
    </w:p>
    <w:p w14:paraId="440E0D79" w14:textId="77777777" w:rsidR="002F5401" w:rsidRPr="00F72EF7" w:rsidRDefault="002F5401" w:rsidP="002F5401">
      <w:pPr>
        <w:ind w:left="720" w:hanging="720"/>
      </w:pPr>
      <w:r>
        <w:t xml:space="preserve">Nehrkorn, Helga. 1971. “A Homeric Episode in Vergil’s </w:t>
      </w:r>
      <w:r>
        <w:rPr>
          <w:i/>
        </w:rPr>
        <w:t>Aeneid</w:t>
      </w:r>
      <w:r>
        <w:t xml:space="preserve">.” </w:t>
      </w:r>
      <w:r>
        <w:rPr>
          <w:i/>
        </w:rPr>
        <w:t xml:space="preserve">AJP </w:t>
      </w:r>
      <w:r>
        <w:t>92.4: 566-584.</w:t>
      </w:r>
    </w:p>
    <w:p w14:paraId="6A27AF53" w14:textId="77777777" w:rsidR="002F5401" w:rsidRDefault="002F5401" w:rsidP="002F5401">
      <w:pPr>
        <w:ind w:left="720" w:hanging="720"/>
      </w:pPr>
      <w:r>
        <w:t xml:space="preserve">Northrup, Mark D. 1978. “‘Like Dreams that Delude the Sleeping Senses’: Aeneas’ Moral Failure and Vergil’s Imagery of the Insubstantial.” </w:t>
      </w:r>
      <w:r>
        <w:rPr>
          <w:i/>
        </w:rPr>
        <w:t xml:space="preserve">Ramus </w:t>
      </w:r>
      <w:r>
        <w:t>7.1: 26-37.</w:t>
      </w:r>
    </w:p>
    <w:p w14:paraId="0F7DF13A" w14:textId="77777777" w:rsidR="002F5401" w:rsidRPr="00AB735E" w:rsidRDefault="002F5401" w:rsidP="002F5401">
      <w:pPr>
        <w:ind w:left="720" w:hanging="720"/>
      </w:pPr>
      <w:r>
        <w:t xml:space="preserve">Quint, David. 2001. “The Brothers of Sarpedon: Patterns of Homeric Imitation in </w:t>
      </w:r>
      <w:r w:rsidRPr="00AB735E">
        <w:t>Aeneid</w:t>
      </w:r>
      <w:r>
        <w:rPr>
          <w:i/>
        </w:rPr>
        <w:t xml:space="preserve"> </w:t>
      </w:r>
      <w:r>
        <w:t xml:space="preserve">10.” </w:t>
      </w:r>
      <w:r w:rsidRPr="00AB735E">
        <w:rPr>
          <w:i/>
        </w:rPr>
        <w:t>Materiali e discussioni per l’analisi dei testi classici</w:t>
      </w:r>
      <w:r>
        <w:t xml:space="preserve"> 47: </w:t>
      </w:r>
      <w:r w:rsidRPr="00AB735E">
        <w:t>35-66</w:t>
      </w:r>
      <w:r>
        <w:t xml:space="preserve">. </w:t>
      </w:r>
    </w:p>
    <w:p w14:paraId="6D9BEB06" w14:textId="77777777" w:rsidR="002F5401" w:rsidRPr="009F2550" w:rsidRDefault="002F5401" w:rsidP="002F5401">
      <w:pPr>
        <w:ind w:left="720" w:hanging="720"/>
      </w:pPr>
      <w:r>
        <w:t xml:space="preserve">Williams, R. Deryck, ed. 1973. </w:t>
      </w:r>
      <w:r>
        <w:rPr>
          <w:i/>
        </w:rPr>
        <w:t xml:space="preserve">Virgil. </w:t>
      </w:r>
      <w:r>
        <w:t xml:space="preserve">Aeneid </w:t>
      </w:r>
      <w:r>
        <w:rPr>
          <w:i/>
        </w:rPr>
        <w:t xml:space="preserve">Books 7-12. </w:t>
      </w:r>
      <w:r>
        <w:t>London.</w:t>
      </w:r>
    </w:p>
    <w:p w14:paraId="7D91058A" w14:textId="01F2ABCD" w:rsidR="00C258EF" w:rsidRPr="009F2550" w:rsidRDefault="00C258EF" w:rsidP="00C258EF">
      <w:pPr>
        <w:ind w:left="720" w:hanging="720"/>
      </w:pPr>
    </w:p>
    <w:p w14:paraId="36F118F6" w14:textId="77777777" w:rsidR="00E5010E" w:rsidRDefault="00E5010E"/>
    <w:sectPr w:rsidR="00E5010E" w:rsidSect="002F540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F3072" w14:textId="77777777" w:rsidR="00404C26" w:rsidRDefault="00404C26" w:rsidP="00C258EF">
      <w:r>
        <w:separator/>
      </w:r>
    </w:p>
  </w:endnote>
  <w:endnote w:type="continuationSeparator" w:id="0">
    <w:p w14:paraId="460693AF" w14:textId="77777777" w:rsidR="00404C26" w:rsidRDefault="00404C26" w:rsidP="00C2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E7404" w14:textId="77777777" w:rsidR="002F5401" w:rsidRDefault="002F5401" w:rsidP="00E1228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32D51" w14:textId="77777777" w:rsidR="002F5401" w:rsidRDefault="002F54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E6B6D" w14:textId="77777777" w:rsidR="002F5401" w:rsidRDefault="002F5401" w:rsidP="00E1228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1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E4B2DC" w14:textId="77777777" w:rsidR="002F5401" w:rsidRDefault="002F54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2E396" w14:textId="77777777" w:rsidR="00404C26" w:rsidRDefault="00404C26" w:rsidP="00C258EF">
      <w:r>
        <w:separator/>
      </w:r>
    </w:p>
  </w:footnote>
  <w:footnote w:type="continuationSeparator" w:id="0">
    <w:p w14:paraId="5B5253B3" w14:textId="77777777" w:rsidR="00404C26" w:rsidRDefault="00404C26" w:rsidP="00C258EF">
      <w:r>
        <w:continuationSeparator/>
      </w:r>
    </w:p>
  </w:footnote>
  <w:footnote w:id="1">
    <w:p w14:paraId="3922C39F" w14:textId="3D6ACE80" w:rsidR="00D42211" w:rsidRDefault="00D42211" w:rsidP="00D42211">
      <w:pPr>
        <w:pStyle w:val="FootnoteText"/>
      </w:pPr>
      <w:r>
        <w:rPr>
          <w:rStyle w:val="FootnoteReference"/>
        </w:rPr>
        <w:footnoteRef/>
      </w:r>
      <w:r>
        <w:t xml:space="preserve"> Latin quoted from R.A.B. Mynors’ Oxford Classical Text. Translation </w:t>
      </w:r>
      <w:r w:rsidR="006331FC">
        <w:t>adapted from</w:t>
      </w:r>
      <w:r>
        <w:t xml:space="preserve"> Harrison 1991.</w:t>
      </w:r>
    </w:p>
  </w:footnote>
  <w:footnote w:id="2">
    <w:p w14:paraId="3BF63DC9" w14:textId="77777777" w:rsidR="00D42211" w:rsidRDefault="00D42211" w:rsidP="00D42211">
      <w:pPr>
        <w:pStyle w:val="FootnoteText"/>
      </w:pPr>
      <w:r>
        <w:rPr>
          <w:rStyle w:val="FootnoteReference"/>
        </w:rPr>
        <w:footnoteRef/>
      </w:r>
      <w:r>
        <w:t xml:space="preserve"> Text from the TLG. Translation from the Loeb Classical Library edition of A.T. Murray and William F. Wyatt. </w:t>
      </w:r>
    </w:p>
  </w:footnote>
  <w:footnote w:id="3">
    <w:p w14:paraId="75BE4C69" w14:textId="77777777" w:rsidR="008C56FB" w:rsidRDefault="008C56FB" w:rsidP="008C56FB">
      <w:pPr>
        <w:pStyle w:val="FootnoteText"/>
      </w:pPr>
      <w:r>
        <w:rPr>
          <w:rStyle w:val="FootnoteReference"/>
        </w:rPr>
        <w:footnoteRef/>
      </w:r>
      <w:r>
        <w:t xml:space="preserve"> Text from the TLG. Translation from Burian 2007. </w:t>
      </w:r>
    </w:p>
  </w:footnote>
  <w:footnote w:id="4">
    <w:p w14:paraId="2A6549FB" w14:textId="77777777" w:rsidR="00DE0515" w:rsidRDefault="00DE0515" w:rsidP="00DE0515">
      <w:pPr>
        <w:pStyle w:val="FootnoteText"/>
      </w:pPr>
      <w:r>
        <w:rPr>
          <w:rStyle w:val="FootnoteReference"/>
        </w:rPr>
        <w:footnoteRef/>
      </w:r>
      <w:r>
        <w:t xml:space="preserve"> Text and translation of W.H. Race’s Loeb Classical Library edition.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DC"/>
    <w:rsid w:val="00060F2C"/>
    <w:rsid w:val="001E346A"/>
    <w:rsid w:val="002051E1"/>
    <w:rsid w:val="002F5401"/>
    <w:rsid w:val="00404C26"/>
    <w:rsid w:val="005D4EDE"/>
    <w:rsid w:val="006331FC"/>
    <w:rsid w:val="0077035D"/>
    <w:rsid w:val="008C56FB"/>
    <w:rsid w:val="0096775B"/>
    <w:rsid w:val="00A601E0"/>
    <w:rsid w:val="00C258EF"/>
    <w:rsid w:val="00D42211"/>
    <w:rsid w:val="00DA17DC"/>
    <w:rsid w:val="00DE0515"/>
    <w:rsid w:val="00E36404"/>
    <w:rsid w:val="00E5010E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E47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01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10E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10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0E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0E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258EF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58EF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C258E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8E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8EF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2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40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5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01"/>
  </w:style>
  <w:style w:type="character" w:styleId="PageNumber">
    <w:name w:val="page number"/>
    <w:basedOn w:val="DefaultParagraphFont"/>
    <w:uiPriority w:val="99"/>
    <w:semiHidden/>
    <w:unhideWhenUsed/>
    <w:rsid w:val="002F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rumpark@email.arizona.edu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537</Words>
  <Characters>3062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 Park</dc:creator>
  <cp:keywords/>
  <dc:description/>
  <cp:lastModifiedBy>Arum Park</cp:lastModifiedBy>
  <cp:revision>7</cp:revision>
  <dcterms:created xsi:type="dcterms:W3CDTF">2016-03-10T19:58:00Z</dcterms:created>
  <dcterms:modified xsi:type="dcterms:W3CDTF">2016-03-15T18:39:00Z</dcterms:modified>
</cp:coreProperties>
</file>