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5B907" w14:textId="77777777" w:rsidR="00604AF6" w:rsidRPr="00604AF6" w:rsidRDefault="00604AF6" w:rsidP="00604AF6">
      <w:pPr>
        <w:widowControl w:val="0"/>
        <w:tabs>
          <w:tab w:val="left" w:pos="90"/>
          <w:tab w:val="left" w:pos="630"/>
        </w:tabs>
        <w:autoSpaceDE w:val="0"/>
        <w:autoSpaceDN w:val="0"/>
        <w:adjustRightInd w:val="0"/>
        <w:spacing w:line="240" w:lineRule="auto"/>
        <w:rPr>
          <w:b/>
          <w:sz w:val="24"/>
          <w:szCs w:val="24"/>
        </w:rPr>
      </w:pPr>
      <w:r w:rsidRPr="00604AF6">
        <w:rPr>
          <w:b/>
          <w:i/>
          <w:sz w:val="24"/>
          <w:szCs w:val="24"/>
        </w:rPr>
        <w:t xml:space="preserve">Speculum Civilis Sarcina Belli: </w:t>
      </w:r>
      <w:r w:rsidRPr="00604AF6">
        <w:rPr>
          <w:b/>
          <w:sz w:val="24"/>
          <w:szCs w:val="24"/>
        </w:rPr>
        <w:t xml:space="preserve">Otho the </w:t>
      </w:r>
      <w:r w:rsidRPr="00604AF6">
        <w:rPr>
          <w:b/>
          <w:i/>
          <w:sz w:val="24"/>
          <w:szCs w:val="24"/>
        </w:rPr>
        <w:t xml:space="preserve">Pathicus </w:t>
      </w:r>
      <w:r w:rsidRPr="00604AF6">
        <w:rPr>
          <w:b/>
          <w:sz w:val="24"/>
          <w:szCs w:val="24"/>
        </w:rPr>
        <w:t>in Juvenal’s Satire 2</w:t>
      </w:r>
    </w:p>
    <w:p w14:paraId="3057E2BD" w14:textId="77777777" w:rsidR="00604AF6" w:rsidRDefault="00604AF6" w:rsidP="00604AF6">
      <w:pPr>
        <w:spacing w:line="240" w:lineRule="auto"/>
        <w:rPr>
          <w:rFonts w:cstheme="minorHAnsi"/>
          <w:b/>
          <w:sz w:val="24"/>
          <w:szCs w:val="24"/>
        </w:rPr>
      </w:pPr>
      <w:r>
        <w:rPr>
          <w:rFonts w:cstheme="minorHAnsi"/>
          <w:b/>
          <w:sz w:val="24"/>
          <w:szCs w:val="24"/>
        </w:rPr>
        <w:t>Madeline Monk</w:t>
      </w:r>
    </w:p>
    <w:p w14:paraId="36A2320B" w14:textId="77777777" w:rsidR="00062B06" w:rsidRPr="00262B48" w:rsidRDefault="00604AF6" w:rsidP="00604AF6">
      <w:pPr>
        <w:spacing w:line="240" w:lineRule="auto"/>
        <w:rPr>
          <w:rFonts w:cstheme="minorHAnsi"/>
          <w:b/>
          <w:sz w:val="24"/>
          <w:szCs w:val="24"/>
        </w:rPr>
      </w:pPr>
      <w:r>
        <w:rPr>
          <w:rFonts w:cstheme="minorHAnsi"/>
          <w:b/>
          <w:sz w:val="24"/>
          <w:szCs w:val="24"/>
        </w:rPr>
        <w:t>March 19, 2016</w:t>
      </w:r>
    </w:p>
    <w:p w14:paraId="0766B17B" w14:textId="77777777" w:rsidR="00062B06" w:rsidRPr="00262B48" w:rsidRDefault="00604AF6" w:rsidP="00604AF6">
      <w:pPr>
        <w:spacing w:line="240" w:lineRule="auto"/>
        <w:rPr>
          <w:rFonts w:cstheme="minorHAnsi"/>
          <w:b/>
          <w:sz w:val="24"/>
          <w:szCs w:val="24"/>
        </w:rPr>
      </w:pPr>
      <w:r>
        <w:rPr>
          <w:rFonts w:cstheme="minorHAnsi"/>
          <w:b/>
          <w:sz w:val="24"/>
          <w:szCs w:val="24"/>
        </w:rPr>
        <w:t>madelinemonk</w:t>
      </w:r>
      <w:r w:rsidR="00062B06" w:rsidRPr="00262B48">
        <w:rPr>
          <w:rFonts w:cstheme="minorHAnsi"/>
          <w:b/>
          <w:sz w:val="24"/>
          <w:szCs w:val="24"/>
        </w:rPr>
        <w:t>@</w:t>
      </w:r>
      <w:r>
        <w:rPr>
          <w:rFonts w:cstheme="minorHAnsi"/>
          <w:b/>
          <w:sz w:val="24"/>
          <w:szCs w:val="24"/>
        </w:rPr>
        <w:t>go.</w:t>
      </w:r>
      <w:r w:rsidR="00262B48" w:rsidRPr="00262B48">
        <w:rPr>
          <w:rFonts w:cstheme="minorHAnsi"/>
          <w:b/>
          <w:sz w:val="24"/>
          <w:szCs w:val="24"/>
        </w:rPr>
        <w:t>rmc.edu</w:t>
      </w:r>
    </w:p>
    <w:p w14:paraId="09B37B3A" w14:textId="77777777" w:rsidR="00996065" w:rsidRPr="00262B48" w:rsidRDefault="00062B06" w:rsidP="009B73C4">
      <w:pPr>
        <w:spacing w:line="240" w:lineRule="auto"/>
        <w:rPr>
          <w:rFonts w:cstheme="minorHAnsi"/>
          <w:b/>
          <w:sz w:val="24"/>
          <w:szCs w:val="24"/>
        </w:rPr>
      </w:pPr>
      <w:r w:rsidRPr="00262B48">
        <w:rPr>
          <w:rFonts w:cstheme="minorHAnsi"/>
          <w:b/>
          <w:noProof/>
          <w:sz w:val="24"/>
          <w:szCs w:val="24"/>
        </w:rPr>
        <mc:AlternateContent>
          <mc:Choice Requires="wps">
            <w:drawing>
              <wp:anchor distT="0" distB="0" distL="114300" distR="114300" simplePos="0" relativeHeight="251659264" behindDoc="0" locked="0" layoutInCell="1" allowOverlap="1" wp14:anchorId="345B1A5B" wp14:editId="260EE8D5">
                <wp:simplePos x="0" y="0"/>
                <wp:positionH relativeFrom="column">
                  <wp:posOffset>0</wp:posOffset>
                </wp:positionH>
                <wp:positionV relativeFrom="paragraph">
                  <wp:posOffset>71755</wp:posOffset>
                </wp:positionV>
                <wp:extent cx="5943600" cy="6824"/>
                <wp:effectExtent l="38100" t="38100" r="57150" b="88900"/>
                <wp:wrapNone/>
                <wp:docPr id="2" name="Straight Connector 2"/>
                <wp:cNvGraphicFramePr/>
                <a:graphic xmlns:a="http://schemas.openxmlformats.org/drawingml/2006/main">
                  <a:graphicData uri="http://schemas.microsoft.com/office/word/2010/wordprocessingShape">
                    <wps:wsp>
                      <wps:cNvCnPr/>
                      <wps:spPr>
                        <a:xfrm>
                          <a:off x="0" y="0"/>
                          <a:ext cx="5943600" cy="68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46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LAugEAALoDAAAOAAAAZHJzL2Uyb0RvYy54bWysU02P0zAQvSPxHyzfadKwVEvUdA9dwQVB&#10;xS4/wOuMGwt/aWya9N8zdtMsArQHxMXx2O/NzHuebO8ma9gJMGrvOr5e1ZyBk77X7tjxb48f3txy&#10;FpNwvTDeQcfPEPnd7vWr7RhaaPzgTQ/IKImL7Rg6PqQU2qqKcgAr4soHcHSpPFqRKMRj1aMYKbs1&#10;VVPXm2r02Af0EmKk0/vLJd+V/EqBTF+UipCY6Tj1lsqKZX3Ka7XbivaIIgxazm2If+jCCu2o6JLq&#10;XiTBfqD+I5XVEn30Kq2kt5VXSksoGkjNuv5NzcMgAhQtZE4Mi03x/6WVn08HZLrveMOZE5ae6CGh&#10;0Mchsb13jgz0yJrs0xhiS/C9O+AcxXDALHpSaPOX5LCpeHtevIUpMUmH797fvN3U9ASS7ja3zU1O&#10;WT1zA8b0EbxledNxo11WLlpx+hTTBXqFEC/3cqledulsIION+wqK1FC9prDLHMHeIDsJmoD++3ou&#10;W5CZorQxC6l+mTRjMw3KbC3E9cvEBV0qepcWotXO49/Iabq2qi74q+qL1iz7yffn8hbFDhqQYug8&#10;zHkCf40L/fmX2/0EAAD//wMAUEsDBBQABgAIAAAAIQDLW/Yh2gAAAAYBAAAPAAAAZHJzL2Rvd25y&#10;ZXYueG1sTI/BTsMwDIbvSLxDZCQuiKXbYIzSdEIIDki7MBBnrzFNReNUTbaGt8ec2NHfb/3+XG2y&#10;79WRxtgFNjCfFaCIm2A7bg18vL9cr0HFhGyxD0wGfijCpj4/q7C0YeI3Ou5Sq6SEY4kGXEpDqXVs&#10;HHmMszAQS/YVRo9JxrHVdsRJyn2vF0Wx0h47lgsOB3py1HzvDt5Ak3W+cs+2ndq7V7vFuP7Ut1tj&#10;Li/y4wOoRDn9L8OfvqhDLU77cGAbVW9AHklC50tQkt4vVwL2AhY3oOtKn+rXvwAAAP//AwBQSwEC&#10;LQAUAAYACAAAACEAtoM4kv4AAADhAQAAEwAAAAAAAAAAAAAAAAAAAAAAW0NvbnRlbnRfVHlwZXNd&#10;LnhtbFBLAQItABQABgAIAAAAIQA4/SH/1gAAAJQBAAALAAAAAAAAAAAAAAAAAC8BAABfcmVscy8u&#10;cmVsc1BLAQItABQABgAIAAAAIQAJMkLAugEAALoDAAAOAAAAAAAAAAAAAAAAAC4CAABkcnMvZTJv&#10;RG9jLnhtbFBLAQItABQABgAIAAAAIQDLW/Yh2gAAAAYBAAAPAAAAAAAAAAAAAAAAABQEAABkcnMv&#10;ZG93bnJldi54bWxQSwUGAAAAAAQABADzAAAAGwUAAAAA&#10;" strokecolor="black [3200]" strokeweight="2pt">
                <v:shadow on="t" color="black" opacity="24903f" origin=",.5" offset="0,.55556mm"/>
              </v:line>
            </w:pict>
          </mc:Fallback>
        </mc:AlternateContent>
      </w:r>
    </w:p>
    <w:p w14:paraId="458B14BF" w14:textId="77777777" w:rsidR="009B73C4" w:rsidRPr="00262B48" w:rsidRDefault="009B73C4" w:rsidP="008676C0">
      <w:pPr>
        <w:spacing w:line="240" w:lineRule="auto"/>
        <w:rPr>
          <w:rFonts w:cstheme="minorHAnsi"/>
          <w:b/>
          <w:sz w:val="24"/>
          <w:szCs w:val="24"/>
        </w:rPr>
      </w:pPr>
    </w:p>
    <w:p w14:paraId="03A7B177" w14:textId="77777777" w:rsidR="008676C0" w:rsidRPr="00413964" w:rsidRDefault="00062B06" w:rsidP="00604AF6">
      <w:pPr>
        <w:pStyle w:val="Body"/>
        <w:spacing w:line="240" w:lineRule="auto"/>
        <w:rPr>
          <w:rFonts w:eastAsia="Helvetica" w:hAnsi="Times New Roman" w:cs="Times New Roman"/>
        </w:rPr>
      </w:pPr>
      <w:r w:rsidRPr="00262B48">
        <w:rPr>
          <w:rFonts w:cstheme="minorHAnsi"/>
          <w:b/>
        </w:rPr>
        <w:t xml:space="preserve">Thesis: </w:t>
      </w:r>
      <w:r w:rsidR="00604AF6">
        <w:t>This paper aims to examine Juvenal</w:t>
      </w:r>
      <w:r w:rsidR="00604AF6">
        <w:t>’</w:t>
      </w:r>
      <w:r w:rsidR="00604AF6">
        <w:t xml:space="preserve">s extensive allusion to Otho in the context of  current scholarship. Juvenal mentions the mirror of Otho the </w:t>
      </w:r>
      <w:r w:rsidR="00604AF6">
        <w:rPr>
          <w:i/>
        </w:rPr>
        <w:t xml:space="preserve">pathicus </w:t>
      </w:r>
      <w:r w:rsidR="00604AF6">
        <w:t>in Satire 2, in which he is targeting elite passive homosexuals, who are the most culpable for Rome</w:t>
      </w:r>
      <w:r w:rsidR="00604AF6">
        <w:t>’</w:t>
      </w:r>
      <w:r w:rsidR="00604AF6">
        <w:t xml:space="preserve">s decline. The literary figure of Otho </w:t>
      </w:r>
      <w:r w:rsidR="00604AF6" w:rsidRPr="008A4EEC">
        <w:t>is</w:t>
      </w:r>
      <w:r w:rsidR="00604AF6">
        <w:rPr>
          <w:b/>
        </w:rPr>
        <w:t xml:space="preserve"> </w:t>
      </w:r>
      <w:r w:rsidR="00604AF6">
        <w:t>the perfect example of this category: he comes from a good family, every historical source which depicts him brands him as effeminate, and he assassinates an emperor, destablizing the state, which leads to civil war. Moreover, he was, however briefly, emperor, the person who was considered to be the only true man in Rome. In his selection of Otho, Juvenal seems to be making a conventional allusion at first, but Juvenal is deliberately reducing the ambiguity of Otho</w:t>
      </w:r>
      <w:r w:rsidR="00604AF6">
        <w:t>’</w:t>
      </w:r>
      <w:r w:rsidR="00604AF6">
        <w:t xml:space="preserve">s character, and his heroic suicide, into a mirror to make his reference, which he does to rewrite history and demonstrate that it is impossible for a </w:t>
      </w:r>
      <w:r w:rsidR="00604AF6">
        <w:rPr>
          <w:i/>
        </w:rPr>
        <w:t xml:space="preserve">pathicus </w:t>
      </w:r>
      <w:r w:rsidR="00604AF6">
        <w:t>to make any positive contribution to the state.</w:t>
      </w:r>
    </w:p>
    <w:p w14:paraId="534FE00C" w14:textId="77777777" w:rsidR="000B0F0F" w:rsidRPr="00262B48" w:rsidRDefault="000B0F0F">
      <w:pPr>
        <w:rPr>
          <w:rFonts w:cstheme="minorHAnsi"/>
          <w:b/>
          <w:sz w:val="24"/>
          <w:szCs w:val="24"/>
        </w:rPr>
      </w:pPr>
    </w:p>
    <w:p w14:paraId="3A530094" w14:textId="77777777" w:rsidR="00663EAD" w:rsidRPr="00CC0172" w:rsidRDefault="00C34125">
      <w:pPr>
        <w:rPr>
          <w:rFonts w:cstheme="minorHAnsi"/>
          <w:b/>
          <w:sz w:val="24"/>
          <w:szCs w:val="24"/>
        </w:rPr>
      </w:pPr>
      <w:r>
        <w:rPr>
          <w:rFonts w:cstheme="minorHAnsi"/>
          <w:b/>
          <w:sz w:val="24"/>
          <w:szCs w:val="24"/>
        </w:rPr>
        <w:t>1</w:t>
      </w:r>
      <w:r w:rsidR="00604AF6">
        <w:rPr>
          <w:rFonts w:cstheme="minorHAnsi"/>
          <w:b/>
          <w:sz w:val="24"/>
          <w:szCs w:val="24"/>
        </w:rPr>
        <w:t>. Juvenal</w:t>
      </w:r>
      <w:r w:rsidR="00663EAD" w:rsidRPr="00262B48">
        <w:rPr>
          <w:rFonts w:cstheme="minorHAnsi"/>
          <w:b/>
          <w:sz w:val="24"/>
          <w:szCs w:val="24"/>
        </w:rPr>
        <w:t>,</w:t>
      </w:r>
      <w:r w:rsidR="00604AF6">
        <w:rPr>
          <w:rFonts w:cstheme="minorHAnsi"/>
          <w:b/>
          <w:sz w:val="24"/>
          <w:szCs w:val="24"/>
        </w:rPr>
        <w:t xml:space="preserve"> Satire</w:t>
      </w:r>
      <w:r w:rsidR="00CC0172">
        <w:rPr>
          <w:rFonts w:cstheme="minorHAnsi"/>
          <w:b/>
          <w:i/>
          <w:sz w:val="24"/>
          <w:szCs w:val="24"/>
        </w:rPr>
        <w:t xml:space="preserve"> </w:t>
      </w:r>
      <w:r w:rsidR="00604AF6">
        <w:rPr>
          <w:rFonts w:cstheme="minorHAnsi"/>
          <w:b/>
          <w:sz w:val="24"/>
          <w:szCs w:val="24"/>
        </w:rPr>
        <w:t>2.99-109</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663EAD" w:rsidRPr="00262B48" w14:paraId="3C781633" w14:textId="77777777" w:rsidTr="00C34125">
        <w:tc>
          <w:tcPr>
            <w:tcW w:w="4788" w:type="dxa"/>
          </w:tcPr>
          <w:p w14:paraId="1D4A0DE7" w14:textId="77777777" w:rsidR="00604AF6" w:rsidRPr="00FA2C98" w:rsidRDefault="00604AF6" w:rsidP="00604AF6">
            <w:pPr>
              <w:widowControl w:val="0"/>
              <w:tabs>
                <w:tab w:val="left" w:pos="90"/>
                <w:tab w:val="left" w:pos="630"/>
              </w:tabs>
              <w:autoSpaceDE w:val="0"/>
              <w:autoSpaceDN w:val="0"/>
              <w:adjustRightInd w:val="0"/>
            </w:pPr>
            <w:r w:rsidRPr="00FA2C98">
              <w:t xml:space="preserve">ille tenet speculum, </w:t>
            </w:r>
            <w:r w:rsidRPr="00604AF6">
              <w:rPr>
                <w:b/>
              </w:rPr>
              <w:t xml:space="preserve">pathici </w:t>
            </w:r>
            <w:r w:rsidRPr="00FA2C98">
              <w:t>gestamen Othonis,</w:t>
            </w:r>
          </w:p>
          <w:p w14:paraId="3D040C1E" w14:textId="77777777" w:rsidR="00604AF6" w:rsidRPr="00FA2C98" w:rsidRDefault="00604AF6" w:rsidP="00604AF6">
            <w:pPr>
              <w:widowControl w:val="0"/>
              <w:tabs>
                <w:tab w:val="left" w:pos="0"/>
              </w:tabs>
              <w:autoSpaceDE w:val="0"/>
              <w:autoSpaceDN w:val="0"/>
              <w:adjustRightInd w:val="0"/>
            </w:pPr>
            <w:r w:rsidRPr="00FA2C98">
              <w:t xml:space="preserve">Actoris Aurunci spolium, quo se ille videbat </w:t>
            </w:r>
          </w:p>
          <w:p w14:paraId="5F51B363" w14:textId="77777777" w:rsidR="00604AF6" w:rsidRPr="00FA2C98" w:rsidRDefault="00604AF6" w:rsidP="00604AF6">
            <w:pPr>
              <w:widowControl w:val="0"/>
              <w:tabs>
                <w:tab w:val="left" w:pos="0"/>
              </w:tabs>
              <w:autoSpaceDE w:val="0"/>
              <w:autoSpaceDN w:val="0"/>
              <w:adjustRightInd w:val="0"/>
            </w:pPr>
            <w:r w:rsidRPr="00FA2C98">
              <w:t>armatum, cum iam tolli vexilla iuberet.</w:t>
            </w:r>
          </w:p>
          <w:p w14:paraId="5C5BCAA9" w14:textId="77777777" w:rsidR="00604AF6" w:rsidRPr="00FA2C98" w:rsidRDefault="00604AF6" w:rsidP="00604AF6">
            <w:pPr>
              <w:widowControl w:val="0"/>
              <w:tabs>
                <w:tab w:val="left" w:pos="0"/>
              </w:tabs>
              <w:autoSpaceDE w:val="0"/>
              <w:autoSpaceDN w:val="0"/>
              <w:adjustRightInd w:val="0"/>
            </w:pPr>
            <w:r w:rsidRPr="00FA2C98">
              <w:t>res memoranda novis annalibus atque recenti</w:t>
            </w:r>
          </w:p>
          <w:p w14:paraId="487A8C3C" w14:textId="77777777" w:rsidR="00604AF6" w:rsidRPr="00FA2C98" w:rsidRDefault="00604AF6" w:rsidP="00604AF6">
            <w:pPr>
              <w:widowControl w:val="0"/>
              <w:tabs>
                <w:tab w:val="left" w:pos="0"/>
              </w:tabs>
              <w:autoSpaceDE w:val="0"/>
              <w:autoSpaceDN w:val="0"/>
              <w:adjustRightInd w:val="0"/>
            </w:pPr>
            <w:r w:rsidRPr="00FA2C98">
              <w:t>historia, speculum civilis sarcina belli ;</w:t>
            </w:r>
          </w:p>
          <w:p w14:paraId="2062C7A5" w14:textId="77777777" w:rsidR="00604AF6" w:rsidRDefault="00604AF6" w:rsidP="00604AF6">
            <w:pPr>
              <w:tabs>
                <w:tab w:val="left" w:pos="0"/>
              </w:tabs>
            </w:pPr>
            <w:r w:rsidRPr="00FA2C98">
              <w:t>nimirum summi ducis est occidere Galbam</w:t>
            </w:r>
          </w:p>
          <w:p w14:paraId="0891C35C" w14:textId="77777777" w:rsidR="00604AF6" w:rsidRPr="00FA2C98" w:rsidRDefault="00604AF6" w:rsidP="00604AF6">
            <w:pPr>
              <w:widowControl w:val="0"/>
              <w:tabs>
                <w:tab w:val="left" w:pos="0"/>
              </w:tabs>
              <w:autoSpaceDE w:val="0"/>
              <w:autoSpaceDN w:val="0"/>
              <w:adjustRightInd w:val="0"/>
            </w:pPr>
            <w:r w:rsidRPr="00FA2C98">
              <w:t xml:space="preserve">et curare cutem ; summi constantia civis </w:t>
            </w:r>
          </w:p>
          <w:p w14:paraId="5B005FA9" w14:textId="77777777" w:rsidR="00604AF6" w:rsidRPr="00FA2C98" w:rsidRDefault="00604AF6" w:rsidP="00604AF6">
            <w:pPr>
              <w:widowControl w:val="0"/>
              <w:tabs>
                <w:tab w:val="left" w:pos="0"/>
              </w:tabs>
              <w:autoSpaceDE w:val="0"/>
              <w:autoSpaceDN w:val="0"/>
              <w:adjustRightInd w:val="0"/>
            </w:pPr>
            <w:r w:rsidRPr="00FA2C98">
              <w:t>Bebriacis campis spolium</w:t>
            </w:r>
            <w:r>
              <w:t xml:space="preserve"> </w:t>
            </w:r>
            <w:r w:rsidRPr="00FA2C98">
              <w:t>adfectare Palati,</w:t>
            </w:r>
          </w:p>
          <w:p w14:paraId="3862BBEC" w14:textId="77777777" w:rsidR="00604AF6" w:rsidRPr="00FA2C98" w:rsidRDefault="00604AF6" w:rsidP="00604AF6">
            <w:pPr>
              <w:widowControl w:val="0"/>
              <w:tabs>
                <w:tab w:val="left" w:pos="0"/>
              </w:tabs>
              <w:autoSpaceDE w:val="0"/>
              <w:autoSpaceDN w:val="0"/>
              <w:adjustRightInd w:val="0"/>
            </w:pPr>
            <w:r w:rsidRPr="00FA2C98">
              <w:t>et pressum i</w:t>
            </w:r>
            <w:r>
              <w:t>n facie digitis extendere panem</w:t>
            </w:r>
            <w:r w:rsidRPr="00FA2C98">
              <w:t>,</w:t>
            </w:r>
          </w:p>
          <w:p w14:paraId="3ED02B4B" w14:textId="77777777" w:rsidR="00604AF6" w:rsidRDefault="00604AF6" w:rsidP="00604AF6">
            <w:pPr>
              <w:widowControl w:val="0"/>
              <w:tabs>
                <w:tab w:val="left" w:pos="0"/>
              </w:tabs>
              <w:autoSpaceDE w:val="0"/>
              <w:autoSpaceDN w:val="0"/>
              <w:adjustRightInd w:val="0"/>
            </w:pPr>
            <w:r>
              <w:t>quod nec</w:t>
            </w:r>
            <w:r w:rsidRPr="00FA2C98">
              <w:t xml:space="preserve"> in Assyrio pharetrata Samiramis </w:t>
            </w:r>
            <w:r>
              <w:t>orbe,</w:t>
            </w:r>
          </w:p>
          <w:p w14:paraId="5319BEED" w14:textId="77777777" w:rsidR="00663EAD" w:rsidRPr="00604AF6" w:rsidRDefault="00604AF6" w:rsidP="00604AF6">
            <w:pPr>
              <w:pStyle w:val="Body"/>
              <w:spacing w:line="240" w:lineRule="auto"/>
              <w:rPr>
                <w:sz w:val="22"/>
                <w:szCs w:val="22"/>
              </w:rPr>
            </w:pPr>
            <w:r w:rsidRPr="00604AF6">
              <w:rPr>
                <w:sz w:val="22"/>
                <w:szCs w:val="22"/>
              </w:rPr>
              <w:t>maesta nec Actiaca fecit Cleopatra carina.</w:t>
            </w:r>
          </w:p>
          <w:p w14:paraId="1DBE6C68" w14:textId="77777777" w:rsidR="00604AF6" w:rsidRPr="00CC0172" w:rsidRDefault="00604AF6" w:rsidP="00604AF6">
            <w:pPr>
              <w:pStyle w:val="Body"/>
              <w:spacing w:line="240" w:lineRule="auto"/>
              <w:rPr>
                <w:rFonts w:eastAsia="Helvetica" w:hAnsi="Times New Roman" w:cs="Times New Roman"/>
              </w:rPr>
            </w:pPr>
          </w:p>
        </w:tc>
        <w:tc>
          <w:tcPr>
            <w:tcW w:w="4860" w:type="dxa"/>
          </w:tcPr>
          <w:p w14:paraId="2D51913F" w14:textId="77777777" w:rsidR="00604AF6" w:rsidRDefault="00604AF6" w:rsidP="00604AF6">
            <w:pPr>
              <w:widowControl w:val="0"/>
              <w:tabs>
                <w:tab w:val="left" w:pos="0"/>
              </w:tabs>
              <w:autoSpaceDE w:val="0"/>
              <w:autoSpaceDN w:val="0"/>
              <w:adjustRightInd w:val="0"/>
            </w:pPr>
            <w:r>
              <w:t xml:space="preserve">Another </w:t>
            </w:r>
            <w:r w:rsidRPr="000C5862">
              <w:t>holds in his hand a mirror like that carried by the</w:t>
            </w:r>
            <w:r>
              <w:t xml:space="preserve"> </w:t>
            </w:r>
            <w:r w:rsidRPr="00604AF6">
              <w:rPr>
                <w:b/>
              </w:rPr>
              <w:t>effeminate</w:t>
            </w:r>
            <w:r>
              <w:t xml:space="preserve"> Otho</w:t>
            </w:r>
            <w:r w:rsidRPr="000C5862">
              <w:t xml:space="preserve">: a trophy </w:t>
            </w:r>
            <w:r>
              <w:t xml:space="preserve">of </w:t>
            </w:r>
            <w:r w:rsidRPr="000C5862">
              <w:t>the Auruncan Actor, in</w:t>
            </w:r>
            <w:r>
              <w:t xml:space="preserve"> </w:t>
            </w:r>
            <w:r w:rsidRPr="000C5862">
              <w:t>which he gazed at his own image in full armour when</w:t>
            </w:r>
            <w:r>
              <w:t xml:space="preserve"> </w:t>
            </w:r>
            <w:r w:rsidRPr="000C5862">
              <w:t>he was just ready to give the order to advance—a</w:t>
            </w:r>
            <w:r>
              <w:t xml:space="preserve"> </w:t>
            </w:r>
            <w:r w:rsidRPr="000C5862">
              <w:t>thing notable and novel in the annals of our time, a</w:t>
            </w:r>
            <w:r>
              <w:t xml:space="preserve"> </w:t>
            </w:r>
            <w:r w:rsidRPr="000C5862">
              <w:t>mirror among the kit of Civil War! It needed, in truth,</w:t>
            </w:r>
            <w:r>
              <w:t xml:space="preserve"> </w:t>
            </w:r>
            <w:r w:rsidRPr="000C5862">
              <w:t>a mighty general to slay Galba, and k</w:t>
            </w:r>
            <w:r w:rsidRPr="005277E4">
              <w:t>eep his own skin sleek; it needed a citizen of highest courage to ape</w:t>
            </w:r>
            <w:r>
              <w:t xml:space="preserve"> the splendours of </w:t>
            </w:r>
            <w:r w:rsidRPr="005277E4">
              <w:t>the Palace on the field of Bebria</w:t>
            </w:r>
            <w:r>
              <w:t xml:space="preserve">cum </w:t>
            </w:r>
            <w:r w:rsidRPr="005277E4">
              <w:t xml:space="preserve">and plaster his face with </w:t>
            </w:r>
            <w:r>
              <w:t>dough</w:t>
            </w:r>
            <w:r w:rsidRPr="005277E4">
              <w:t>! Never did the</w:t>
            </w:r>
            <w:r>
              <w:t xml:space="preserve"> </w:t>
            </w:r>
            <w:r w:rsidRPr="005277E4">
              <w:t xml:space="preserve">quiver-bearing </w:t>
            </w:r>
            <w:r>
              <w:t>Samiramis</w:t>
            </w:r>
            <w:r w:rsidRPr="005277E4">
              <w:t xml:space="preserve"> the like in her Assyrian</w:t>
            </w:r>
            <w:r>
              <w:t xml:space="preserve"> </w:t>
            </w:r>
            <w:r w:rsidRPr="005277E4">
              <w:t>realm, nor the despairing Cleopatra on board her</w:t>
            </w:r>
            <w:r>
              <w:t xml:space="preserve"> </w:t>
            </w:r>
            <w:r w:rsidRPr="005277E4">
              <w:t>ship at Actium.</w:t>
            </w:r>
            <w:r>
              <w:rPr>
                <w:rStyle w:val="FootnoteReference"/>
              </w:rPr>
              <w:footnoteReference w:id="1"/>
            </w:r>
            <w:r w:rsidRPr="005277E4">
              <w:t xml:space="preserve"> </w:t>
            </w:r>
          </w:p>
          <w:p w14:paraId="2D3DF1F5" w14:textId="77777777" w:rsidR="00470D63" w:rsidRPr="00262B48" w:rsidRDefault="00470D63" w:rsidP="00604AF6">
            <w:pPr>
              <w:pStyle w:val="Body"/>
              <w:spacing w:line="240" w:lineRule="auto"/>
              <w:rPr>
                <w:rFonts w:cstheme="minorHAnsi"/>
              </w:rPr>
            </w:pPr>
          </w:p>
        </w:tc>
      </w:tr>
    </w:tbl>
    <w:p w14:paraId="65F88654" w14:textId="77777777" w:rsidR="00BC093F" w:rsidRPr="00CC0172" w:rsidRDefault="00C34125">
      <w:pPr>
        <w:rPr>
          <w:rFonts w:cstheme="minorHAnsi"/>
          <w:b/>
          <w:sz w:val="24"/>
          <w:szCs w:val="24"/>
        </w:rPr>
      </w:pPr>
      <w:r>
        <w:rPr>
          <w:rFonts w:cstheme="minorHAnsi"/>
          <w:b/>
          <w:sz w:val="24"/>
          <w:szCs w:val="24"/>
        </w:rPr>
        <w:t>2</w:t>
      </w:r>
      <w:r w:rsidR="00663EAD" w:rsidRPr="00262B48">
        <w:rPr>
          <w:rFonts w:cstheme="minorHAnsi"/>
          <w:b/>
          <w:sz w:val="24"/>
          <w:szCs w:val="24"/>
        </w:rPr>
        <w:t>.</w:t>
      </w:r>
      <w:r w:rsidR="00604AF6">
        <w:rPr>
          <w:rFonts w:cstheme="minorHAnsi"/>
          <w:b/>
          <w:sz w:val="24"/>
          <w:szCs w:val="24"/>
        </w:rPr>
        <w:t xml:space="preserve"> Juvenal</w:t>
      </w:r>
      <w:r w:rsidR="00CC0172">
        <w:rPr>
          <w:rFonts w:cstheme="minorHAnsi"/>
          <w:b/>
          <w:sz w:val="24"/>
          <w:szCs w:val="24"/>
        </w:rPr>
        <w:t>,</w:t>
      </w:r>
      <w:r w:rsidR="00604AF6">
        <w:rPr>
          <w:rFonts w:cstheme="minorHAnsi"/>
          <w:b/>
          <w:sz w:val="24"/>
          <w:szCs w:val="24"/>
        </w:rPr>
        <w:t xml:space="preserve"> Satire 2.8-10</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500"/>
      </w:tblGrid>
      <w:tr w:rsidR="00470D63" w:rsidRPr="00262B48" w14:paraId="7F31AEB9" w14:textId="77777777" w:rsidTr="00F65D02">
        <w:tc>
          <w:tcPr>
            <w:tcW w:w="5148" w:type="dxa"/>
          </w:tcPr>
          <w:p w14:paraId="0A4642A0" w14:textId="77777777" w:rsidR="00604AF6" w:rsidRDefault="00604AF6" w:rsidP="00604AF6">
            <w:pPr>
              <w:tabs>
                <w:tab w:val="left" w:pos="0"/>
              </w:tabs>
              <w:rPr>
                <w:rStyle w:val="line"/>
                <w:rFonts w:eastAsia="Times New Roman"/>
              </w:rPr>
            </w:pPr>
            <w:r>
              <w:rPr>
                <w:rStyle w:val="line"/>
                <w:rFonts w:eastAsia="Times New Roman"/>
              </w:rPr>
              <w:t>frontis nulla fides; quis enim non vicus abundat</w:t>
            </w:r>
          </w:p>
          <w:p w14:paraId="44769C23" w14:textId="77777777" w:rsidR="00604AF6" w:rsidRDefault="00604AF6" w:rsidP="00604AF6">
            <w:pPr>
              <w:tabs>
                <w:tab w:val="left" w:pos="0"/>
              </w:tabs>
              <w:rPr>
                <w:rFonts w:eastAsia="Times New Roman"/>
              </w:rPr>
            </w:pPr>
            <w:r>
              <w:rPr>
                <w:rFonts w:eastAsia="Times New Roman"/>
              </w:rPr>
              <w:t xml:space="preserve"> </w:t>
            </w:r>
            <w:r>
              <w:rPr>
                <w:rStyle w:val="line"/>
                <w:rFonts w:eastAsia="Times New Roman"/>
              </w:rPr>
              <w:t>tristibus obscenis? castigas turpia, cum sis</w:t>
            </w:r>
            <w:r>
              <w:rPr>
                <w:rFonts w:eastAsia="Times New Roman"/>
              </w:rPr>
              <w:t xml:space="preserve"> </w:t>
            </w:r>
          </w:p>
          <w:p w14:paraId="1550C468" w14:textId="77777777" w:rsidR="00DC198F" w:rsidRPr="00262B48" w:rsidRDefault="00604AF6" w:rsidP="00604AF6">
            <w:pPr>
              <w:rPr>
                <w:rFonts w:cstheme="minorHAnsi"/>
                <w:sz w:val="24"/>
                <w:szCs w:val="24"/>
              </w:rPr>
            </w:pPr>
            <w:r>
              <w:rPr>
                <w:rStyle w:val="line"/>
                <w:rFonts w:eastAsia="Times New Roman"/>
              </w:rPr>
              <w:t xml:space="preserve">inter Socraticos notissima fossa </w:t>
            </w:r>
            <w:r w:rsidRPr="00604AF6">
              <w:rPr>
                <w:rStyle w:val="line"/>
                <w:rFonts w:eastAsia="Times New Roman"/>
                <w:b/>
              </w:rPr>
              <w:t>cinaedos</w:t>
            </w:r>
            <w:r>
              <w:rPr>
                <w:rStyle w:val="line"/>
                <w:rFonts w:eastAsia="Times New Roman"/>
              </w:rPr>
              <w:t>?</w:t>
            </w:r>
          </w:p>
          <w:p w14:paraId="568B8D84" w14:textId="77777777" w:rsidR="00DC198F" w:rsidRPr="00262B48" w:rsidRDefault="00DC198F" w:rsidP="00CC0172">
            <w:pPr>
              <w:rPr>
                <w:rFonts w:cstheme="minorHAnsi"/>
                <w:sz w:val="24"/>
                <w:szCs w:val="24"/>
              </w:rPr>
            </w:pPr>
          </w:p>
        </w:tc>
        <w:tc>
          <w:tcPr>
            <w:tcW w:w="4500" w:type="dxa"/>
          </w:tcPr>
          <w:p w14:paraId="42C0E296" w14:textId="77777777" w:rsidR="00604AF6" w:rsidRDefault="00604AF6" w:rsidP="00604AF6">
            <w:pPr>
              <w:tabs>
                <w:tab w:val="left" w:pos="0"/>
              </w:tabs>
              <w:rPr>
                <w:rFonts w:eastAsia="Times New Roman"/>
              </w:rPr>
            </w:pPr>
            <w:r>
              <w:rPr>
                <w:rFonts w:eastAsia="Times New Roman"/>
              </w:rPr>
              <w:t xml:space="preserve">There’s no trusting appearances. After all, isn’t every street packed with grim-looking perverts? Do you criticise disgusting behaviour when you yourself are the most notorious digging-hole among Socratic </w:t>
            </w:r>
            <w:r w:rsidRPr="00604AF6">
              <w:rPr>
                <w:rFonts w:eastAsia="Times New Roman"/>
                <w:b/>
              </w:rPr>
              <w:t>pathics</w:t>
            </w:r>
            <w:r>
              <w:rPr>
                <w:rFonts w:eastAsia="Times New Roman"/>
              </w:rPr>
              <w:t>?</w:t>
            </w:r>
            <w:r>
              <w:rPr>
                <w:rStyle w:val="FootnoteReference"/>
                <w:rFonts w:eastAsia="Times New Roman"/>
              </w:rPr>
              <w:footnoteReference w:id="2"/>
            </w:r>
          </w:p>
          <w:p w14:paraId="7CC161F7" w14:textId="77777777" w:rsidR="00470D63" w:rsidRPr="00262B48" w:rsidRDefault="00470D63" w:rsidP="00470D63">
            <w:pPr>
              <w:rPr>
                <w:rFonts w:cstheme="minorHAnsi"/>
                <w:sz w:val="24"/>
                <w:szCs w:val="24"/>
              </w:rPr>
            </w:pPr>
          </w:p>
          <w:p w14:paraId="21D839E4" w14:textId="77777777" w:rsidR="00DC198F" w:rsidRPr="00262B48" w:rsidRDefault="003D098A" w:rsidP="00470D63">
            <w:pPr>
              <w:rPr>
                <w:rFonts w:cstheme="minorHAnsi"/>
                <w:sz w:val="24"/>
                <w:szCs w:val="24"/>
              </w:rPr>
            </w:pPr>
            <w:r>
              <w:rPr>
                <w:rFonts w:cstheme="minorHAnsi"/>
                <w:sz w:val="24"/>
                <w:szCs w:val="24"/>
              </w:rPr>
              <w:t xml:space="preserve">     </w:t>
            </w:r>
          </w:p>
        </w:tc>
      </w:tr>
    </w:tbl>
    <w:p w14:paraId="3008F9AD" w14:textId="77777777" w:rsidR="00BC093F" w:rsidRDefault="00604AF6" w:rsidP="00413964">
      <w:pPr>
        <w:spacing w:line="240" w:lineRule="auto"/>
        <w:rPr>
          <w:rFonts w:cstheme="minorHAnsi"/>
          <w:b/>
          <w:sz w:val="24"/>
          <w:szCs w:val="24"/>
        </w:rPr>
      </w:pPr>
      <w:r>
        <w:rPr>
          <w:rFonts w:cstheme="minorHAnsi"/>
          <w:b/>
          <w:sz w:val="24"/>
          <w:szCs w:val="24"/>
        </w:rPr>
        <w:lastRenderedPageBreak/>
        <w:t>3</w:t>
      </w:r>
      <w:r w:rsidR="00470D63" w:rsidRPr="00262B48">
        <w:rPr>
          <w:rFonts w:cstheme="minorHAnsi"/>
          <w:b/>
          <w:sz w:val="24"/>
          <w:szCs w:val="24"/>
        </w:rPr>
        <w:t xml:space="preserve">. </w:t>
      </w:r>
      <w:r>
        <w:rPr>
          <w:rFonts w:cstheme="minorHAnsi"/>
          <w:b/>
          <w:sz w:val="24"/>
          <w:szCs w:val="24"/>
        </w:rPr>
        <w:t>Juvenal</w:t>
      </w:r>
      <w:r w:rsidR="003D098A">
        <w:rPr>
          <w:rFonts w:cstheme="minorHAnsi"/>
          <w:b/>
          <w:sz w:val="24"/>
          <w:szCs w:val="24"/>
        </w:rPr>
        <w:t xml:space="preserve">, </w:t>
      </w:r>
      <w:r>
        <w:rPr>
          <w:rFonts w:cstheme="minorHAnsi"/>
          <w:b/>
          <w:sz w:val="24"/>
          <w:szCs w:val="24"/>
        </w:rPr>
        <w:t>Satire 2.45-47</w:t>
      </w:r>
    </w:p>
    <w:p w14:paraId="635F2F19" w14:textId="77777777" w:rsidR="00413964" w:rsidRPr="003D098A" w:rsidRDefault="00413964" w:rsidP="00413964">
      <w:pPr>
        <w:spacing w:line="240" w:lineRule="auto"/>
        <w:rPr>
          <w:rFonts w:cstheme="minorHAnsi"/>
          <w:b/>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50"/>
      </w:tblGrid>
      <w:tr w:rsidR="003D098A" w:rsidRPr="00262B48" w14:paraId="182851A8" w14:textId="77777777" w:rsidTr="00C34125">
        <w:tc>
          <w:tcPr>
            <w:tcW w:w="4788" w:type="dxa"/>
          </w:tcPr>
          <w:p w14:paraId="559EB656" w14:textId="77777777" w:rsidR="00604AF6" w:rsidRDefault="00604AF6" w:rsidP="00604AF6">
            <w:pPr>
              <w:tabs>
                <w:tab w:val="left" w:pos="0"/>
              </w:tabs>
              <w:rPr>
                <w:rFonts w:eastAsia="Times New Roman"/>
              </w:rPr>
            </w:pPr>
            <w:r>
              <w:rPr>
                <w:rFonts w:eastAsia="Times New Roman"/>
              </w:rPr>
              <w:t>… respice primum</w:t>
            </w:r>
          </w:p>
          <w:p w14:paraId="44C5DC6E" w14:textId="77777777" w:rsidR="00604AF6" w:rsidRDefault="00604AF6" w:rsidP="00604AF6">
            <w:pPr>
              <w:tabs>
                <w:tab w:val="left" w:pos="0"/>
              </w:tabs>
              <w:rPr>
                <w:rFonts w:eastAsia="Times New Roman"/>
              </w:rPr>
            </w:pPr>
            <w:r>
              <w:rPr>
                <w:rStyle w:val="line"/>
                <w:rFonts w:eastAsia="Times New Roman" w:cs="Times New Roman"/>
              </w:rPr>
              <w:t>et scrutare viros: faciunt peiora, sed illos</w:t>
            </w:r>
            <w:r>
              <w:rPr>
                <w:rFonts w:eastAsia="Times New Roman" w:cs="Times New Roman"/>
              </w:rPr>
              <w:t xml:space="preserve"> </w:t>
            </w:r>
          </w:p>
          <w:p w14:paraId="75A643F8" w14:textId="77777777" w:rsidR="00604AF6" w:rsidRDefault="00604AF6" w:rsidP="00604AF6">
            <w:pPr>
              <w:tabs>
                <w:tab w:val="left" w:pos="0"/>
              </w:tabs>
              <w:rPr>
                <w:rFonts w:eastAsia="Times New Roman"/>
              </w:rPr>
            </w:pPr>
            <w:r>
              <w:rPr>
                <w:rStyle w:val="line"/>
                <w:rFonts w:eastAsia="Times New Roman" w:cs="Times New Roman"/>
              </w:rPr>
              <w:t>defendit numerus iunctaeque umbone phalanges.</w:t>
            </w:r>
            <w:r>
              <w:rPr>
                <w:rFonts w:eastAsia="Times New Roman" w:cs="Times New Roman"/>
              </w:rPr>
              <w:t xml:space="preserve"> </w:t>
            </w:r>
          </w:p>
          <w:p w14:paraId="068A8366" w14:textId="77777777" w:rsidR="003D098A" w:rsidRPr="00262B48" w:rsidRDefault="00604AF6" w:rsidP="00604AF6">
            <w:pPr>
              <w:rPr>
                <w:rFonts w:cstheme="minorHAnsi"/>
                <w:sz w:val="24"/>
                <w:szCs w:val="24"/>
              </w:rPr>
            </w:pPr>
            <w:r>
              <w:rPr>
                <w:rStyle w:val="line"/>
                <w:rFonts w:eastAsia="Times New Roman" w:cs="Times New Roman"/>
              </w:rPr>
              <w:t>magna inter</w:t>
            </w:r>
            <w:r w:rsidRPr="00604AF6">
              <w:rPr>
                <w:rStyle w:val="line"/>
                <w:rFonts w:eastAsia="Times New Roman" w:cs="Times New Roman"/>
                <w:b/>
              </w:rPr>
              <w:t xml:space="preserve"> molles</w:t>
            </w:r>
            <w:r>
              <w:rPr>
                <w:rStyle w:val="line"/>
                <w:rFonts w:eastAsia="Times New Roman" w:cs="Times New Roman"/>
              </w:rPr>
              <w:t xml:space="preserve"> concordia.</w:t>
            </w:r>
          </w:p>
        </w:tc>
        <w:tc>
          <w:tcPr>
            <w:tcW w:w="4950" w:type="dxa"/>
          </w:tcPr>
          <w:p w14:paraId="0ADF8EBD" w14:textId="77777777" w:rsidR="00604AF6" w:rsidRDefault="00604AF6" w:rsidP="00604AF6">
            <w:pPr>
              <w:tabs>
                <w:tab w:val="left" w:pos="0"/>
              </w:tabs>
            </w:pPr>
            <w:r>
              <w:t xml:space="preserve">… </w:t>
            </w:r>
            <w:r>
              <w:rPr>
                <w:rFonts w:eastAsia="Times New Roman" w:cs="Times New Roman"/>
              </w:rPr>
              <w:t xml:space="preserve">Look at men first, subject them to scrutiny. They behave worse, but they’ve got safety in numbers and in their phalanxes, with shield overlapping shield. The solidarity between </w:t>
            </w:r>
            <w:r w:rsidRPr="00604AF6">
              <w:rPr>
                <w:rFonts w:eastAsia="Times New Roman" w:cs="Times New Roman"/>
                <w:b/>
              </w:rPr>
              <w:t xml:space="preserve">effeminates </w:t>
            </w:r>
            <w:r>
              <w:rPr>
                <w:rFonts w:eastAsia="Times New Roman" w:cs="Times New Roman"/>
              </w:rPr>
              <w:t>is enormous.</w:t>
            </w:r>
            <w:r>
              <w:rPr>
                <w:rStyle w:val="FootnoteReference"/>
                <w:rFonts w:eastAsia="Times New Roman"/>
              </w:rPr>
              <w:footnoteReference w:id="3"/>
            </w:r>
          </w:p>
          <w:p w14:paraId="3D73A25B" w14:textId="77777777" w:rsidR="003D098A" w:rsidRDefault="003D098A"/>
        </w:tc>
      </w:tr>
    </w:tbl>
    <w:p w14:paraId="5DD15047" w14:textId="77777777" w:rsidR="00DE4A91" w:rsidRPr="00604AF6" w:rsidRDefault="00C34125">
      <w:pPr>
        <w:rPr>
          <w:rFonts w:cstheme="minorHAnsi"/>
          <w:b/>
          <w:sz w:val="24"/>
          <w:szCs w:val="24"/>
        </w:rPr>
      </w:pPr>
      <w:r>
        <w:rPr>
          <w:rFonts w:cstheme="minorHAnsi"/>
          <w:b/>
          <w:sz w:val="24"/>
          <w:szCs w:val="24"/>
        </w:rPr>
        <w:t>4</w:t>
      </w:r>
      <w:r w:rsidR="00DE4A91" w:rsidRPr="00262B48">
        <w:rPr>
          <w:rFonts w:cstheme="minorHAnsi"/>
          <w:b/>
          <w:sz w:val="24"/>
          <w:szCs w:val="24"/>
        </w:rPr>
        <w:t xml:space="preserve">. </w:t>
      </w:r>
      <w:r w:rsidR="00604AF6">
        <w:rPr>
          <w:rFonts w:cstheme="minorHAnsi"/>
          <w:b/>
          <w:sz w:val="24"/>
          <w:szCs w:val="24"/>
        </w:rPr>
        <w:t xml:space="preserve">Tacitus, </w:t>
      </w:r>
      <w:r w:rsidR="00604AF6">
        <w:rPr>
          <w:rFonts w:cstheme="minorHAnsi"/>
          <w:b/>
          <w:i/>
          <w:sz w:val="24"/>
          <w:szCs w:val="24"/>
        </w:rPr>
        <w:t xml:space="preserve">Histories </w:t>
      </w:r>
      <w:r w:rsidR="00604AF6">
        <w:rPr>
          <w:rFonts w:cstheme="minorHAnsi"/>
          <w:b/>
          <w:sz w:val="24"/>
          <w:szCs w:val="24"/>
        </w:rPr>
        <w:t>2.31</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4788"/>
      </w:tblGrid>
      <w:tr w:rsidR="00DE4A91" w:rsidRPr="00262B48" w14:paraId="04E3047D" w14:textId="77777777" w:rsidTr="00497D33">
        <w:tc>
          <w:tcPr>
            <w:tcW w:w="5024" w:type="dxa"/>
          </w:tcPr>
          <w:p w14:paraId="4201A11D" w14:textId="77777777" w:rsidR="00DC198F" w:rsidRPr="00497D33" w:rsidRDefault="00604AF6" w:rsidP="00497D33">
            <w:pPr>
              <w:rPr>
                <w:rFonts w:cstheme="minorHAnsi"/>
                <w:sz w:val="24"/>
                <w:szCs w:val="24"/>
              </w:rPr>
            </w:pPr>
            <w:r>
              <w:rPr>
                <w:rFonts w:eastAsia="Times New Roman"/>
              </w:rPr>
              <w:t xml:space="preserve">Sane ante utriusque exitum, quo egregiam </w:t>
            </w:r>
            <w:r w:rsidRPr="00604AF6">
              <w:rPr>
                <w:rFonts w:eastAsia="Times New Roman"/>
                <w:b/>
              </w:rPr>
              <w:t xml:space="preserve">Otho famam, Vitellius flagitiosissimam </w:t>
            </w:r>
            <w:r>
              <w:rPr>
                <w:rFonts w:eastAsia="Times New Roman"/>
              </w:rPr>
              <w:t xml:space="preserve">meruere minus Vitellii ignavae voluptates quam Othonis flagrantissimae libidines timebantur: addiderat huic terrorem atque odium caedes Galbae, contra illi initium belli nemo imputabat. Vitellius ventre et gula sibi inhonestus, </w:t>
            </w:r>
            <w:r w:rsidRPr="00604AF6">
              <w:rPr>
                <w:rFonts w:eastAsia="Times New Roman"/>
                <w:b/>
              </w:rPr>
              <w:t>Otho</w:t>
            </w:r>
            <w:r w:rsidRPr="002B3DE6">
              <w:rPr>
                <w:rFonts w:eastAsia="Times New Roman"/>
                <w:i/>
              </w:rPr>
              <w:t xml:space="preserve"> </w:t>
            </w:r>
            <w:r w:rsidRPr="00604AF6">
              <w:rPr>
                <w:rFonts w:eastAsia="Times New Roman"/>
                <w:b/>
              </w:rPr>
              <w:t>luxu saevitia audacia rei publicae exitiosior ducebatur</w:t>
            </w:r>
            <w:r>
              <w:rPr>
                <w:rFonts w:eastAsia="Times New Roman"/>
              </w:rPr>
              <w:t>.</w:t>
            </w:r>
          </w:p>
        </w:tc>
        <w:tc>
          <w:tcPr>
            <w:tcW w:w="4788" w:type="dxa"/>
          </w:tcPr>
          <w:p w14:paraId="538EAFE6" w14:textId="77777777" w:rsidR="00604AF6" w:rsidRPr="00D8513D" w:rsidRDefault="00604AF6" w:rsidP="00604AF6">
            <w:pPr>
              <w:tabs>
                <w:tab w:val="left" w:pos="0"/>
              </w:tabs>
              <w:rPr>
                <w:rFonts w:eastAsia="Times New Roman"/>
              </w:rPr>
            </w:pPr>
            <w:r>
              <w:rPr>
                <w:rFonts w:eastAsia="Times New Roman"/>
              </w:rPr>
              <w:t xml:space="preserve">In fact, before these two met their deaths, in which </w:t>
            </w:r>
            <w:r w:rsidRPr="00604AF6">
              <w:rPr>
                <w:rFonts w:eastAsia="Times New Roman"/>
                <w:b/>
              </w:rPr>
              <w:t>Otho won a glorious reputation while Vitellius gained infamy</w:t>
            </w:r>
            <w:r w:rsidRPr="002B3DE6">
              <w:rPr>
                <w:rFonts w:eastAsia="Times New Roman"/>
                <w:i/>
              </w:rPr>
              <w:t>,</w:t>
            </w:r>
            <w:r>
              <w:rPr>
                <w:rFonts w:eastAsia="Times New Roman"/>
              </w:rPr>
              <w:t xml:space="preserve"> the indolent pleasures of Vitellius were less feared than the fiery passions of Otho. Moreover the murder of Galba had made men stand in terror of Otho and hate him; but no one blamed Vitellius for beginning the war. The sensuality and gluttony of Vitellius were regarded as disgracing him alone; </w:t>
            </w:r>
            <w:r w:rsidRPr="00604AF6">
              <w:rPr>
                <w:rFonts w:eastAsia="Times New Roman"/>
                <w:b/>
              </w:rPr>
              <w:t>Otho’s luxury, cruelty and daring seemed more dangerous to the state.</w:t>
            </w:r>
            <w:r w:rsidRPr="00604AF6">
              <w:rPr>
                <w:rStyle w:val="FootnoteReference"/>
                <w:rFonts w:eastAsia="Times New Roman"/>
                <w:b/>
              </w:rPr>
              <w:footnoteReference w:id="4"/>
            </w:r>
          </w:p>
          <w:p w14:paraId="23FEE6A5" w14:textId="77777777" w:rsidR="00DC198F" w:rsidRPr="00262B48" w:rsidRDefault="00DC198F" w:rsidP="00B25C50">
            <w:pPr>
              <w:rPr>
                <w:rFonts w:cstheme="minorHAnsi"/>
                <w:sz w:val="24"/>
                <w:szCs w:val="24"/>
              </w:rPr>
            </w:pPr>
          </w:p>
        </w:tc>
      </w:tr>
    </w:tbl>
    <w:p w14:paraId="142FD9E6" w14:textId="77777777" w:rsidR="00413964" w:rsidRDefault="00413964" w:rsidP="00413964">
      <w:pPr>
        <w:spacing w:line="240" w:lineRule="auto"/>
        <w:rPr>
          <w:rFonts w:cstheme="minorHAnsi"/>
          <w:b/>
          <w:sz w:val="24"/>
          <w:szCs w:val="24"/>
        </w:rPr>
      </w:pPr>
    </w:p>
    <w:p w14:paraId="0AC6FFA9" w14:textId="77777777" w:rsidR="00F65D02" w:rsidRDefault="00F65D02" w:rsidP="00BC093F">
      <w:pPr>
        <w:spacing w:line="240" w:lineRule="auto"/>
        <w:rPr>
          <w:rFonts w:cstheme="minorHAnsi"/>
          <w:b/>
          <w:sz w:val="24"/>
          <w:szCs w:val="24"/>
        </w:rPr>
      </w:pPr>
    </w:p>
    <w:p w14:paraId="0F4AA53A" w14:textId="77777777" w:rsidR="00BC093F" w:rsidRPr="00262B48" w:rsidRDefault="00BC093F" w:rsidP="00BC093F">
      <w:pPr>
        <w:spacing w:line="240" w:lineRule="auto"/>
        <w:rPr>
          <w:rFonts w:cstheme="minorHAnsi"/>
          <w:b/>
          <w:sz w:val="24"/>
          <w:szCs w:val="24"/>
        </w:rPr>
      </w:pPr>
      <w:r w:rsidRPr="00262B48">
        <w:rPr>
          <w:rFonts w:cstheme="minorHAnsi"/>
          <w:b/>
          <w:sz w:val="24"/>
          <w:szCs w:val="24"/>
        </w:rPr>
        <w:t>Works Cited:</w:t>
      </w:r>
    </w:p>
    <w:p w14:paraId="3DB169B4" w14:textId="77777777" w:rsidR="00BC093F" w:rsidRPr="00262B48" w:rsidRDefault="00BC093F" w:rsidP="00BC093F">
      <w:pPr>
        <w:spacing w:line="240" w:lineRule="auto"/>
        <w:rPr>
          <w:rFonts w:cstheme="minorHAnsi"/>
          <w:sz w:val="24"/>
          <w:szCs w:val="24"/>
        </w:rPr>
      </w:pPr>
    </w:p>
    <w:p w14:paraId="5A30EABE" w14:textId="77777777" w:rsidR="00604AF6" w:rsidRDefault="00604AF6" w:rsidP="00604AF6">
      <w:pPr>
        <w:spacing w:line="240" w:lineRule="auto"/>
      </w:pPr>
      <w:r>
        <w:t xml:space="preserve">Morgan, Gwyn. </w:t>
      </w:r>
      <w:r>
        <w:rPr>
          <w:i/>
        </w:rPr>
        <w:t xml:space="preserve">69 A.D.: The Year of Four Emperors. </w:t>
      </w:r>
      <w:r>
        <w:t>New York: Oxford University Press, 2006.</w:t>
      </w:r>
    </w:p>
    <w:p w14:paraId="21AA5863" w14:textId="77777777" w:rsidR="00604AF6" w:rsidRDefault="00604AF6" w:rsidP="00604AF6">
      <w:pPr>
        <w:spacing w:line="240" w:lineRule="auto"/>
      </w:pPr>
      <w:r>
        <w:t xml:space="preserve">Nappa, Christopher. “‘Praetextati Mores’: Juvenal’s Second Satire.” In </w:t>
      </w:r>
      <w:r>
        <w:rPr>
          <w:i/>
        </w:rPr>
        <w:t xml:space="preserve">Hermes </w:t>
      </w:r>
      <w:r>
        <w:t xml:space="preserve">126. Bd., </w:t>
      </w:r>
      <w:r>
        <w:tab/>
        <w:t>H. 1 (1998): 90-</w:t>
      </w:r>
      <w:r>
        <w:tab/>
        <w:t>108.</w:t>
      </w:r>
    </w:p>
    <w:p w14:paraId="1F0D8DE2" w14:textId="77777777" w:rsidR="00604AF6" w:rsidRDefault="00604AF6" w:rsidP="00604AF6">
      <w:pPr>
        <w:widowControl w:val="0"/>
        <w:tabs>
          <w:tab w:val="left" w:pos="0"/>
        </w:tabs>
        <w:autoSpaceDE w:val="0"/>
        <w:autoSpaceDN w:val="0"/>
        <w:adjustRightInd w:val="0"/>
        <w:spacing w:line="240" w:lineRule="auto"/>
      </w:pPr>
      <w:r>
        <w:t xml:space="preserve">Parker, Holt N. “The Teratogenic Grid.” In </w:t>
      </w:r>
      <w:r>
        <w:rPr>
          <w:i/>
        </w:rPr>
        <w:t xml:space="preserve">Roman Sexualities. </w:t>
      </w:r>
      <w:r>
        <w:t xml:space="preserve">Princeton: Princeton University Press, </w:t>
      </w:r>
      <w:r>
        <w:tab/>
        <w:t>1997. 47-65.</w:t>
      </w:r>
    </w:p>
    <w:p w14:paraId="6608C841" w14:textId="77777777" w:rsidR="00604AF6" w:rsidRDefault="00604AF6" w:rsidP="00604AF6">
      <w:pPr>
        <w:widowControl w:val="0"/>
        <w:tabs>
          <w:tab w:val="left" w:pos="0"/>
        </w:tabs>
        <w:autoSpaceDE w:val="0"/>
        <w:autoSpaceDN w:val="0"/>
        <w:adjustRightInd w:val="0"/>
        <w:spacing w:line="240" w:lineRule="auto"/>
      </w:pPr>
      <w:r>
        <w:t xml:space="preserve">Richlin, Amy. “Juvenal and Priapus.” In </w:t>
      </w:r>
      <w:r>
        <w:rPr>
          <w:i/>
        </w:rPr>
        <w:t xml:space="preserve">Oxford Readings in Persius and Juvenal. </w:t>
      </w:r>
      <w:r>
        <w:t xml:space="preserve">New York: Oxford </w:t>
      </w:r>
      <w:r>
        <w:tab/>
        <w:t>University Press, 2009.</w:t>
      </w:r>
    </w:p>
    <w:p w14:paraId="79F74571" w14:textId="77777777" w:rsidR="00604AF6" w:rsidRDefault="00604AF6" w:rsidP="00604AF6">
      <w:pPr>
        <w:widowControl w:val="0"/>
        <w:autoSpaceDE w:val="0"/>
        <w:autoSpaceDN w:val="0"/>
        <w:adjustRightInd w:val="0"/>
        <w:spacing w:line="240" w:lineRule="auto"/>
      </w:pPr>
      <w:r>
        <w:t xml:space="preserve">--. “Not before Homosexuality: The Materiality of the Cinaedus and the Roman Law against Love </w:t>
      </w:r>
      <w:r>
        <w:tab/>
        <w:t xml:space="preserve">between Men.” </w:t>
      </w:r>
      <w:r>
        <w:rPr>
          <w:i/>
        </w:rPr>
        <w:t xml:space="preserve">Journal of the History of Sexuality </w:t>
      </w:r>
      <w:r>
        <w:t xml:space="preserve">Vol. 3 No. 4 </w:t>
      </w:r>
      <w:r>
        <w:tab/>
        <w:t>(1993): 523-73.</w:t>
      </w:r>
    </w:p>
    <w:p w14:paraId="1E300C78" w14:textId="77777777" w:rsidR="00413964" w:rsidRPr="00413964" w:rsidRDefault="00413964" w:rsidP="00C271D9">
      <w:pPr>
        <w:spacing w:line="240" w:lineRule="auto"/>
        <w:ind w:left="720" w:hanging="720"/>
        <w:rPr>
          <w:rFonts w:cstheme="minorHAnsi"/>
          <w:sz w:val="24"/>
          <w:szCs w:val="24"/>
        </w:rPr>
      </w:pPr>
      <w:bookmarkStart w:id="0" w:name="_GoBack"/>
      <w:bookmarkEnd w:id="0"/>
    </w:p>
    <w:sectPr w:rsidR="00413964" w:rsidRPr="004139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DC83" w14:textId="77777777" w:rsidR="00604AF6" w:rsidRDefault="00604AF6" w:rsidP="00996065">
      <w:pPr>
        <w:spacing w:line="240" w:lineRule="auto"/>
      </w:pPr>
      <w:r>
        <w:separator/>
      </w:r>
    </w:p>
  </w:endnote>
  <w:endnote w:type="continuationSeparator" w:id="0">
    <w:p w14:paraId="1DEFE973" w14:textId="77777777" w:rsidR="00604AF6" w:rsidRDefault="00604AF6" w:rsidP="00996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76379"/>
      <w:docPartObj>
        <w:docPartGallery w:val="Page Numbers (Bottom of Page)"/>
        <w:docPartUnique/>
      </w:docPartObj>
    </w:sdtPr>
    <w:sdtEndPr>
      <w:rPr>
        <w:noProof/>
      </w:rPr>
    </w:sdtEndPr>
    <w:sdtContent>
      <w:p w14:paraId="60AD726F" w14:textId="77777777" w:rsidR="00604AF6" w:rsidRDefault="00604AF6">
        <w:pPr>
          <w:pStyle w:val="Footer"/>
          <w:jc w:val="center"/>
        </w:pPr>
        <w:r>
          <w:fldChar w:fldCharType="begin"/>
        </w:r>
        <w:r>
          <w:instrText xml:space="preserve"> PAGE   \* MERGEFORMAT </w:instrText>
        </w:r>
        <w:r>
          <w:fldChar w:fldCharType="separate"/>
        </w:r>
        <w:r w:rsidR="00356C2F">
          <w:rPr>
            <w:noProof/>
          </w:rPr>
          <w:t>2</w:t>
        </w:r>
        <w:r>
          <w:rPr>
            <w:noProof/>
          </w:rPr>
          <w:fldChar w:fldCharType="end"/>
        </w:r>
      </w:p>
    </w:sdtContent>
  </w:sdt>
  <w:p w14:paraId="790C0122" w14:textId="77777777" w:rsidR="00604AF6" w:rsidRDefault="00604A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6E9B4" w14:textId="77777777" w:rsidR="00604AF6" w:rsidRDefault="00604AF6" w:rsidP="00996065">
      <w:pPr>
        <w:spacing w:line="240" w:lineRule="auto"/>
      </w:pPr>
      <w:r>
        <w:separator/>
      </w:r>
    </w:p>
  </w:footnote>
  <w:footnote w:type="continuationSeparator" w:id="0">
    <w:p w14:paraId="638835AB" w14:textId="77777777" w:rsidR="00604AF6" w:rsidRDefault="00604AF6" w:rsidP="00996065">
      <w:pPr>
        <w:spacing w:line="240" w:lineRule="auto"/>
      </w:pPr>
      <w:r>
        <w:continuationSeparator/>
      </w:r>
    </w:p>
  </w:footnote>
  <w:footnote w:id="1">
    <w:p w14:paraId="4F2E1328" w14:textId="77777777" w:rsidR="00604AF6" w:rsidRPr="00604AF6" w:rsidRDefault="00604AF6" w:rsidP="00604AF6">
      <w:pPr>
        <w:pStyle w:val="FootnoteText"/>
        <w:rPr>
          <w:sz w:val="22"/>
          <w:szCs w:val="22"/>
        </w:rPr>
      </w:pPr>
      <w:r w:rsidRPr="00416658">
        <w:rPr>
          <w:rStyle w:val="FootnoteReference"/>
          <w:sz w:val="22"/>
          <w:szCs w:val="22"/>
        </w:rPr>
        <w:footnoteRef/>
      </w:r>
      <w:r w:rsidRPr="00416658">
        <w:rPr>
          <w:sz w:val="22"/>
          <w:szCs w:val="22"/>
        </w:rPr>
        <w:t xml:space="preserve"> </w:t>
      </w:r>
      <w:r w:rsidRPr="00604AF6">
        <w:rPr>
          <w:sz w:val="22"/>
          <w:szCs w:val="22"/>
        </w:rPr>
        <w:t xml:space="preserve">Juvenal, trans. G. G. Ramsay, LL.D., Lirr.D, </w:t>
      </w:r>
      <w:r w:rsidRPr="00604AF6">
        <w:rPr>
          <w:i/>
          <w:sz w:val="22"/>
          <w:szCs w:val="22"/>
        </w:rPr>
        <w:t xml:space="preserve">Juvenal and Persius </w:t>
      </w:r>
      <w:r w:rsidRPr="00604AF6">
        <w:rPr>
          <w:sz w:val="22"/>
          <w:szCs w:val="22"/>
        </w:rPr>
        <w:t>(New York: G. P. Putnam’s Sons, 1918), 24-27.</w:t>
      </w:r>
    </w:p>
  </w:footnote>
  <w:footnote w:id="2">
    <w:p w14:paraId="35A1CD9C" w14:textId="77777777" w:rsidR="00604AF6" w:rsidRPr="002B3DE6" w:rsidRDefault="00604AF6" w:rsidP="00604AF6">
      <w:pPr>
        <w:pStyle w:val="FootnoteText"/>
        <w:rPr>
          <w:sz w:val="22"/>
          <w:szCs w:val="22"/>
        </w:rPr>
      </w:pPr>
      <w:r w:rsidRPr="00604AF6">
        <w:rPr>
          <w:rStyle w:val="FootnoteReference"/>
          <w:sz w:val="22"/>
          <w:szCs w:val="22"/>
        </w:rPr>
        <w:footnoteRef/>
      </w:r>
      <w:r w:rsidRPr="00604AF6">
        <w:rPr>
          <w:sz w:val="22"/>
          <w:szCs w:val="22"/>
        </w:rPr>
        <w:t xml:space="preserve"> Ibid., 148-9.</w:t>
      </w:r>
    </w:p>
  </w:footnote>
  <w:footnote w:id="3">
    <w:p w14:paraId="1B59989D" w14:textId="77777777" w:rsidR="00604AF6" w:rsidRDefault="00604AF6" w:rsidP="00604AF6">
      <w:pPr>
        <w:pStyle w:val="FootnoteText"/>
      </w:pPr>
      <w:r>
        <w:rPr>
          <w:rStyle w:val="FootnoteReference"/>
        </w:rPr>
        <w:footnoteRef/>
      </w:r>
      <w:r>
        <w:t xml:space="preserve"> </w:t>
      </w:r>
      <w:r w:rsidRPr="002B3DE6">
        <w:rPr>
          <w:sz w:val="22"/>
          <w:szCs w:val="22"/>
        </w:rPr>
        <w:t>Ibid.,</w:t>
      </w:r>
      <w:r>
        <w:t xml:space="preserve"> </w:t>
      </w:r>
      <w:r w:rsidRPr="002B3DE6">
        <w:rPr>
          <w:sz w:val="22"/>
          <w:szCs w:val="22"/>
        </w:rPr>
        <w:t>152-3.</w:t>
      </w:r>
      <w:r>
        <w:t xml:space="preserve"> </w:t>
      </w:r>
    </w:p>
  </w:footnote>
  <w:footnote w:id="4">
    <w:p w14:paraId="574088B0" w14:textId="77777777" w:rsidR="00604AF6" w:rsidRDefault="00604AF6" w:rsidP="00604AF6">
      <w:pPr>
        <w:pStyle w:val="FootnoteText"/>
      </w:pPr>
      <w:r>
        <w:rPr>
          <w:rStyle w:val="FootnoteReference"/>
        </w:rPr>
        <w:footnoteRef/>
      </w:r>
      <w:r>
        <w:t xml:space="preserve"> </w:t>
      </w:r>
      <w:r w:rsidRPr="00D8513D">
        <w:rPr>
          <w:sz w:val="22"/>
          <w:szCs w:val="22"/>
        </w:rPr>
        <w:t xml:space="preserve"> </w:t>
      </w:r>
      <w:r w:rsidRPr="00796F65">
        <w:rPr>
          <w:sz w:val="22"/>
          <w:szCs w:val="22"/>
        </w:rPr>
        <w:t xml:space="preserve">Tacitus, trans. Clifford H. Moore, </w:t>
      </w:r>
      <w:r w:rsidRPr="00796F65">
        <w:rPr>
          <w:i/>
          <w:sz w:val="22"/>
          <w:szCs w:val="22"/>
        </w:rPr>
        <w:t>Tacitus Histories Books 1-3 (Loeb Classical Library)</w:t>
      </w:r>
      <w:r w:rsidRPr="00796F65">
        <w:rPr>
          <w:sz w:val="22"/>
          <w:szCs w:val="22"/>
        </w:rPr>
        <w:t xml:space="preserve"> (Cambridge: Harvard University Press, 1925), </w:t>
      </w:r>
      <w:r w:rsidRPr="00D8513D">
        <w:rPr>
          <w:sz w:val="22"/>
          <w:szCs w:val="22"/>
        </w:rPr>
        <w:t>210-213.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C8"/>
    <w:rsid w:val="00027464"/>
    <w:rsid w:val="00062B06"/>
    <w:rsid w:val="000962BE"/>
    <w:rsid w:val="000B0F0F"/>
    <w:rsid w:val="000D35E7"/>
    <w:rsid w:val="000E058F"/>
    <w:rsid w:val="0010493F"/>
    <w:rsid w:val="0014622E"/>
    <w:rsid w:val="001C5D5F"/>
    <w:rsid w:val="00262B48"/>
    <w:rsid w:val="00283047"/>
    <w:rsid w:val="002D4A6A"/>
    <w:rsid w:val="00356C2F"/>
    <w:rsid w:val="003728C8"/>
    <w:rsid w:val="00387EC0"/>
    <w:rsid w:val="003A4D45"/>
    <w:rsid w:val="003B193A"/>
    <w:rsid w:val="003B6221"/>
    <w:rsid w:val="003D098A"/>
    <w:rsid w:val="003F5293"/>
    <w:rsid w:val="00413964"/>
    <w:rsid w:val="004148B4"/>
    <w:rsid w:val="00470D63"/>
    <w:rsid w:val="00497D33"/>
    <w:rsid w:val="005157F2"/>
    <w:rsid w:val="005358A8"/>
    <w:rsid w:val="005B0EC3"/>
    <w:rsid w:val="005C5A9F"/>
    <w:rsid w:val="005F7DBD"/>
    <w:rsid w:val="00604AF6"/>
    <w:rsid w:val="00663EAD"/>
    <w:rsid w:val="006B7507"/>
    <w:rsid w:val="006D5ED5"/>
    <w:rsid w:val="00701E72"/>
    <w:rsid w:val="00776D47"/>
    <w:rsid w:val="008056CA"/>
    <w:rsid w:val="008676C0"/>
    <w:rsid w:val="008C7D9F"/>
    <w:rsid w:val="008D0F29"/>
    <w:rsid w:val="00911CFF"/>
    <w:rsid w:val="0092719B"/>
    <w:rsid w:val="00996065"/>
    <w:rsid w:val="009962AE"/>
    <w:rsid w:val="009B2B7D"/>
    <w:rsid w:val="009B73C4"/>
    <w:rsid w:val="009E5C0D"/>
    <w:rsid w:val="00A11A2D"/>
    <w:rsid w:val="00A5313F"/>
    <w:rsid w:val="00A8447F"/>
    <w:rsid w:val="00AE3DEF"/>
    <w:rsid w:val="00B2243B"/>
    <w:rsid w:val="00B25C50"/>
    <w:rsid w:val="00B5514B"/>
    <w:rsid w:val="00B627CD"/>
    <w:rsid w:val="00B950B1"/>
    <w:rsid w:val="00BC0124"/>
    <w:rsid w:val="00BC093F"/>
    <w:rsid w:val="00C00117"/>
    <w:rsid w:val="00C15762"/>
    <w:rsid w:val="00C271D9"/>
    <w:rsid w:val="00C34125"/>
    <w:rsid w:val="00C6454F"/>
    <w:rsid w:val="00CC0172"/>
    <w:rsid w:val="00CC4F0A"/>
    <w:rsid w:val="00CF0624"/>
    <w:rsid w:val="00D24C11"/>
    <w:rsid w:val="00D472A4"/>
    <w:rsid w:val="00D928DA"/>
    <w:rsid w:val="00DA5A96"/>
    <w:rsid w:val="00DB169D"/>
    <w:rsid w:val="00DC198F"/>
    <w:rsid w:val="00DC2984"/>
    <w:rsid w:val="00DE4A91"/>
    <w:rsid w:val="00DF3A2A"/>
    <w:rsid w:val="00ED12AF"/>
    <w:rsid w:val="00F65D02"/>
    <w:rsid w:val="00F7367B"/>
    <w:rsid w:val="00FA70BA"/>
    <w:rsid w:val="00FD2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B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8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1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124"/>
    <w:rPr>
      <w:rFonts w:ascii="Tahoma" w:hAnsi="Tahoma" w:cs="Tahoma"/>
      <w:sz w:val="16"/>
      <w:szCs w:val="16"/>
    </w:rPr>
  </w:style>
  <w:style w:type="paragraph" w:customStyle="1" w:styleId="Body1">
    <w:name w:val="Body 1"/>
    <w:rsid w:val="00FA70BA"/>
    <w:pPr>
      <w:spacing w:line="240" w:lineRule="auto"/>
      <w:jc w:val="left"/>
    </w:pPr>
    <w:rPr>
      <w:rFonts w:ascii="Helvetica" w:eastAsia="Arial Unicode MS" w:hAnsi="Helvetica" w:cs="Times New Roman"/>
      <w:color w:val="000000"/>
      <w:sz w:val="24"/>
      <w:szCs w:val="20"/>
    </w:rPr>
  </w:style>
  <w:style w:type="paragraph" w:styleId="ListParagraph">
    <w:name w:val="List Paragraph"/>
    <w:basedOn w:val="Normal"/>
    <w:uiPriority w:val="34"/>
    <w:qFormat/>
    <w:rsid w:val="0010493F"/>
    <w:pPr>
      <w:ind w:left="720"/>
      <w:contextualSpacing/>
    </w:pPr>
  </w:style>
  <w:style w:type="paragraph" w:styleId="Header">
    <w:name w:val="header"/>
    <w:basedOn w:val="Normal"/>
    <w:link w:val="HeaderChar"/>
    <w:uiPriority w:val="99"/>
    <w:unhideWhenUsed/>
    <w:rsid w:val="00996065"/>
    <w:pPr>
      <w:tabs>
        <w:tab w:val="center" w:pos="4680"/>
        <w:tab w:val="right" w:pos="9360"/>
      </w:tabs>
      <w:spacing w:line="240" w:lineRule="auto"/>
    </w:pPr>
  </w:style>
  <w:style w:type="character" w:customStyle="1" w:styleId="HeaderChar">
    <w:name w:val="Header Char"/>
    <w:basedOn w:val="DefaultParagraphFont"/>
    <w:link w:val="Header"/>
    <w:uiPriority w:val="99"/>
    <w:rsid w:val="00996065"/>
  </w:style>
  <w:style w:type="paragraph" w:styleId="Footer">
    <w:name w:val="footer"/>
    <w:basedOn w:val="Normal"/>
    <w:link w:val="FooterChar"/>
    <w:uiPriority w:val="99"/>
    <w:unhideWhenUsed/>
    <w:rsid w:val="00996065"/>
    <w:pPr>
      <w:tabs>
        <w:tab w:val="center" w:pos="4680"/>
        <w:tab w:val="right" w:pos="9360"/>
      </w:tabs>
      <w:spacing w:line="240" w:lineRule="auto"/>
    </w:pPr>
  </w:style>
  <w:style w:type="character" w:customStyle="1" w:styleId="FooterChar">
    <w:name w:val="Footer Char"/>
    <w:basedOn w:val="DefaultParagraphFont"/>
    <w:link w:val="Footer"/>
    <w:uiPriority w:val="99"/>
    <w:rsid w:val="00996065"/>
  </w:style>
  <w:style w:type="character" w:styleId="Hyperlink">
    <w:name w:val="Hyperlink"/>
    <w:basedOn w:val="DefaultParagraphFont"/>
    <w:uiPriority w:val="99"/>
    <w:unhideWhenUsed/>
    <w:rsid w:val="00062B06"/>
    <w:rPr>
      <w:color w:val="0000FF" w:themeColor="hyperlink"/>
      <w:u w:val="single"/>
    </w:rPr>
  </w:style>
  <w:style w:type="paragraph" w:styleId="FootnoteText">
    <w:name w:val="footnote text"/>
    <w:basedOn w:val="Normal"/>
    <w:link w:val="FootnoteTextChar"/>
    <w:uiPriority w:val="99"/>
    <w:unhideWhenUsed/>
    <w:rsid w:val="000B0F0F"/>
    <w:pPr>
      <w:spacing w:line="240" w:lineRule="auto"/>
    </w:pPr>
    <w:rPr>
      <w:sz w:val="20"/>
      <w:szCs w:val="20"/>
    </w:rPr>
  </w:style>
  <w:style w:type="character" w:customStyle="1" w:styleId="FootnoteTextChar">
    <w:name w:val="Footnote Text Char"/>
    <w:basedOn w:val="DefaultParagraphFont"/>
    <w:link w:val="FootnoteText"/>
    <w:uiPriority w:val="99"/>
    <w:rsid w:val="000B0F0F"/>
    <w:rPr>
      <w:sz w:val="20"/>
      <w:szCs w:val="20"/>
    </w:rPr>
  </w:style>
  <w:style w:type="character" w:styleId="FootnoteReference">
    <w:name w:val="footnote reference"/>
    <w:basedOn w:val="DefaultParagraphFont"/>
    <w:uiPriority w:val="99"/>
    <w:unhideWhenUsed/>
    <w:rsid w:val="000B0F0F"/>
    <w:rPr>
      <w:vertAlign w:val="superscript"/>
    </w:rPr>
  </w:style>
  <w:style w:type="paragraph" w:customStyle="1" w:styleId="Body">
    <w:name w:val="Body"/>
    <w:rsid w:val="00CC0172"/>
    <w:pPr>
      <w:pBdr>
        <w:top w:val="nil"/>
        <w:left w:val="nil"/>
        <w:bottom w:val="nil"/>
        <w:right w:val="nil"/>
        <w:between w:val="nil"/>
        <w:bar w:val="nil"/>
      </w:pBdr>
      <w:spacing w:line="360" w:lineRule="auto"/>
    </w:pPr>
    <w:rPr>
      <w:rFonts w:ascii="Times New Roman" w:eastAsia="Arial Unicode MS" w:hAnsi="Arial Unicode MS" w:cs="Arial Unicode MS"/>
      <w:color w:val="000000"/>
      <w:sz w:val="24"/>
      <w:szCs w:val="24"/>
      <w:u w:color="000000"/>
      <w:bdr w:val="nil"/>
    </w:rPr>
  </w:style>
  <w:style w:type="paragraph" w:customStyle="1" w:styleId="Default">
    <w:name w:val="Default"/>
    <w:rsid w:val="00B25C50"/>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line">
    <w:name w:val="line"/>
    <w:basedOn w:val="DefaultParagraphFont"/>
    <w:rsid w:val="00604A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8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1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124"/>
    <w:rPr>
      <w:rFonts w:ascii="Tahoma" w:hAnsi="Tahoma" w:cs="Tahoma"/>
      <w:sz w:val="16"/>
      <w:szCs w:val="16"/>
    </w:rPr>
  </w:style>
  <w:style w:type="paragraph" w:customStyle="1" w:styleId="Body1">
    <w:name w:val="Body 1"/>
    <w:rsid w:val="00FA70BA"/>
    <w:pPr>
      <w:spacing w:line="240" w:lineRule="auto"/>
      <w:jc w:val="left"/>
    </w:pPr>
    <w:rPr>
      <w:rFonts w:ascii="Helvetica" w:eastAsia="Arial Unicode MS" w:hAnsi="Helvetica" w:cs="Times New Roman"/>
      <w:color w:val="000000"/>
      <w:sz w:val="24"/>
      <w:szCs w:val="20"/>
    </w:rPr>
  </w:style>
  <w:style w:type="paragraph" w:styleId="ListParagraph">
    <w:name w:val="List Paragraph"/>
    <w:basedOn w:val="Normal"/>
    <w:uiPriority w:val="34"/>
    <w:qFormat/>
    <w:rsid w:val="0010493F"/>
    <w:pPr>
      <w:ind w:left="720"/>
      <w:contextualSpacing/>
    </w:pPr>
  </w:style>
  <w:style w:type="paragraph" w:styleId="Header">
    <w:name w:val="header"/>
    <w:basedOn w:val="Normal"/>
    <w:link w:val="HeaderChar"/>
    <w:uiPriority w:val="99"/>
    <w:unhideWhenUsed/>
    <w:rsid w:val="00996065"/>
    <w:pPr>
      <w:tabs>
        <w:tab w:val="center" w:pos="4680"/>
        <w:tab w:val="right" w:pos="9360"/>
      </w:tabs>
      <w:spacing w:line="240" w:lineRule="auto"/>
    </w:pPr>
  </w:style>
  <w:style w:type="character" w:customStyle="1" w:styleId="HeaderChar">
    <w:name w:val="Header Char"/>
    <w:basedOn w:val="DefaultParagraphFont"/>
    <w:link w:val="Header"/>
    <w:uiPriority w:val="99"/>
    <w:rsid w:val="00996065"/>
  </w:style>
  <w:style w:type="paragraph" w:styleId="Footer">
    <w:name w:val="footer"/>
    <w:basedOn w:val="Normal"/>
    <w:link w:val="FooterChar"/>
    <w:uiPriority w:val="99"/>
    <w:unhideWhenUsed/>
    <w:rsid w:val="00996065"/>
    <w:pPr>
      <w:tabs>
        <w:tab w:val="center" w:pos="4680"/>
        <w:tab w:val="right" w:pos="9360"/>
      </w:tabs>
      <w:spacing w:line="240" w:lineRule="auto"/>
    </w:pPr>
  </w:style>
  <w:style w:type="character" w:customStyle="1" w:styleId="FooterChar">
    <w:name w:val="Footer Char"/>
    <w:basedOn w:val="DefaultParagraphFont"/>
    <w:link w:val="Footer"/>
    <w:uiPriority w:val="99"/>
    <w:rsid w:val="00996065"/>
  </w:style>
  <w:style w:type="character" w:styleId="Hyperlink">
    <w:name w:val="Hyperlink"/>
    <w:basedOn w:val="DefaultParagraphFont"/>
    <w:uiPriority w:val="99"/>
    <w:unhideWhenUsed/>
    <w:rsid w:val="00062B06"/>
    <w:rPr>
      <w:color w:val="0000FF" w:themeColor="hyperlink"/>
      <w:u w:val="single"/>
    </w:rPr>
  </w:style>
  <w:style w:type="paragraph" w:styleId="FootnoteText">
    <w:name w:val="footnote text"/>
    <w:basedOn w:val="Normal"/>
    <w:link w:val="FootnoteTextChar"/>
    <w:uiPriority w:val="99"/>
    <w:unhideWhenUsed/>
    <w:rsid w:val="000B0F0F"/>
    <w:pPr>
      <w:spacing w:line="240" w:lineRule="auto"/>
    </w:pPr>
    <w:rPr>
      <w:sz w:val="20"/>
      <w:szCs w:val="20"/>
    </w:rPr>
  </w:style>
  <w:style w:type="character" w:customStyle="1" w:styleId="FootnoteTextChar">
    <w:name w:val="Footnote Text Char"/>
    <w:basedOn w:val="DefaultParagraphFont"/>
    <w:link w:val="FootnoteText"/>
    <w:uiPriority w:val="99"/>
    <w:rsid w:val="000B0F0F"/>
    <w:rPr>
      <w:sz w:val="20"/>
      <w:szCs w:val="20"/>
    </w:rPr>
  </w:style>
  <w:style w:type="character" w:styleId="FootnoteReference">
    <w:name w:val="footnote reference"/>
    <w:basedOn w:val="DefaultParagraphFont"/>
    <w:uiPriority w:val="99"/>
    <w:unhideWhenUsed/>
    <w:rsid w:val="000B0F0F"/>
    <w:rPr>
      <w:vertAlign w:val="superscript"/>
    </w:rPr>
  </w:style>
  <w:style w:type="paragraph" w:customStyle="1" w:styleId="Body">
    <w:name w:val="Body"/>
    <w:rsid w:val="00CC0172"/>
    <w:pPr>
      <w:pBdr>
        <w:top w:val="nil"/>
        <w:left w:val="nil"/>
        <w:bottom w:val="nil"/>
        <w:right w:val="nil"/>
        <w:between w:val="nil"/>
        <w:bar w:val="nil"/>
      </w:pBdr>
      <w:spacing w:line="360" w:lineRule="auto"/>
    </w:pPr>
    <w:rPr>
      <w:rFonts w:ascii="Times New Roman" w:eastAsia="Arial Unicode MS" w:hAnsi="Arial Unicode MS" w:cs="Arial Unicode MS"/>
      <w:color w:val="000000"/>
      <w:sz w:val="24"/>
      <w:szCs w:val="24"/>
      <w:u w:color="000000"/>
      <w:bdr w:val="nil"/>
    </w:rPr>
  </w:style>
  <w:style w:type="paragraph" w:customStyle="1" w:styleId="Default">
    <w:name w:val="Default"/>
    <w:rsid w:val="00B25C50"/>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line">
    <w:name w:val="line"/>
    <w:basedOn w:val="DefaultParagraphFont"/>
    <w:rsid w:val="0060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7738">
      <w:bodyDiv w:val="1"/>
      <w:marLeft w:val="0"/>
      <w:marRight w:val="0"/>
      <w:marTop w:val="0"/>
      <w:marBottom w:val="0"/>
      <w:divBdr>
        <w:top w:val="none" w:sz="0" w:space="0" w:color="auto"/>
        <w:left w:val="none" w:sz="0" w:space="0" w:color="auto"/>
        <w:bottom w:val="none" w:sz="0" w:space="0" w:color="auto"/>
        <w:right w:val="none" w:sz="0" w:space="0" w:color="auto"/>
      </w:divBdr>
    </w:div>
    <w:div w:id="1041906987">
      <w:bodyDiv w:val="1"/>
      <w:marLeft w:val="0"/>
      <w:marRight w:val="0"/>
      <w:marTop w:val="0"/>
      <w:marBottom w:val="0"/>
      <w:divBdr>
        <w:top w:val="none" w:sz="0" w:space="0" w:color="auto"/>
        <w:left w:val="none" w:sz="0" w:space="0" w:color="auto"/>
        <w:bottom w:val="none" w:sz="0" w:space="0" w:color="auto"/>
        <w:right w:val="none" w:sz="0" w:space="0" w:color="auto"/>
      </w:divBdr>
    </w:div>
    <w:div w:id="1430274300">
      <w:bodyDiv w:val="1"/>
      <w:marLeft w:val="0"/>
      <w:marRight w:val="0"/>
      <w:marTop w:val="0"/>
      <w:marBottom w:val="0"/>
      <w:divBdr>
        <w:top w:val="none" w:sz="0" w:space="0" w:color="auto"/>
        <w:left w:val="none" w:sz="0" w:space="0" w:color="auto"/>
        <w:bottom w:val="none" w:sz="0" w:space="0" w:color="auto"/>
        <w:right w:val="none" w:sz="0" w:space="0" w:color="auto"/>
      </w:divBdr>
    </w:div>
    <w:div w:id="1442844939">
      <w:bodyDiv w:val="1"/>
      <w:marLeft w:val="0"/>
      <w:marRight w:val="0"/>
      <w:marTop w:val="0"/>
      <w:marBottom w:val="0"/>
      <w:divBdr>
        <w:top w:val="none" w:sz="0" w:space="0" w:color="auto"/>
        <w:left w:val="none" w:sz="0" w:space="0" w:color="auto"/>
        <w:bottom w:val="none" w:sz="0" w:space="0" w:color="auto"/>
        <w:right w:val="none" w:sz="0" w:space="0" w:color="auto"/>
      </w:divBdr>
      <w:divsChild>
        <w:div w:id="1012728031">
          <w:marLeft w:val="0"/>
          <w:marRight w:val="0"/>
          <w:marTop w:val="0"/>
          <w:marBottom w:val="0"/>
          <w:divBdr>
            <w:top w:val="none" w:sz="0" w:space="0" w:color="auto"/>
            <w:left w:val="none" w:sz="0" w:space="0" w:color="auto"/>
            <w:bottom w:val="none" w:sz="0" w:space="0" w:color="auto"/>
            <w:right w:val="none" w:sz="0" w:space="0" w:color="auto"/>
          </w:divBdr>
        </w:div>
        <w:div w:id="2137992230">
          <w:marLeft w:val="0"/>
          <w:marRight w:val="0"/>
          <w:marTop w:val="0"/>
          <w:marBottom w:val="0"/>
          <w:divBdr>
            <w:top w:val="none" w:sz="0" w:space="0" w:color="auto"/>
            <w:left w:val="none" w:sz="0" w:space="0" w:color="auto"/>
            <w:bottom w:val="none" w:sz="0" w:space="0" w:color="auto"/>
            <w:right w:val="none" w:sz="0" w:space="0" w:color="auto"/>
          </w:divBdr>
        </w:div>
      </w:divsChild>
    </w:div>
    <w:div w:id="15934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261B-742F-EE4C-B921-0687A7BE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 Natoli</dc:creator>
  <cp:lastModifiedBy>Madeline Monk</cp:lastModifiedBy>
  <cp:revision>2</cp:revision>
  <cp:lastPrinted>2014-04-01T01:04:00Z</cp:lastPrinted>
  <dcterms:created xsi:type="dcterms:W3CDTF">2016-03-16T17:54:00Z</dcterms:created>
  <dcterms:modified xsi:type="dcterms:W3CDTF">2016-03-16T17:54:00Z</dcterms:modified>
</cp:coreProperties>
</file>