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C6" w:rsidRPr="00071DA5" w:rsidRDefault="00494A50" w:rsidP="00F52ED9">
      <w:pPr>
        <w:pStyle w:val="Heading1"/>
        <w:jc w:val="center"/>
      </w:pPr>
      <w:r w:rsidRPr="00071DA5">
        <w:t>The Inaros Revolt: Redeeming Ctesias</w:t>
      </w:r>
    </w:p>
    <w:p w:rsidR="00494A50" w:rsidRPr="00071DA5" w:rsidRDefault="00A8182F" w:rsidP="00F52ED9">
      <w:pPr>
        <w:pStyle w:val="Heading3"/>
      </w:pPr>
      <w:r>
        <w:t>A</w:t>
      </w:r>
      <w:r w:rsidR="00494A50" w:rsidRPr="00071DA5">
        <w:t xml:space="preserve">. The General of the First Persian Expedition to Egypt </w:t>
      </w:r>
    </w:p>
    <w:p w:rsidR="00494A50" w:rsidRPr="00071DA5" w:rsidRDefault="00A8182F" w:rsidP="002968AD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t>1</w:t>
      </w:r>
      <w:r w:rsidR="007506AF" w:rsidRPr="00071DA5">
        <w:rPr>
          <w:rFonts w:cstheme="majorBidi"/>
        </w:rPr>
        <w:t>.</w:t>
      </w:r>
      <w:r w:rsidR="00494A50" w:rsidRPr="00071DA5">
        <w:rPr>
          <w:rFonts w:cstheme="majorBidi"/>
        </w:rPr>
        <w:t xml:space="preserve"> Ctesias</w:t>
      </w:r>
      <w:r w:rsidR="007506AF" w:rsidRPr="00071DA5">
        <w:rPr>
          <w:rFonts w:cstheme="majorBidi"/>
        </w:rPr>
        <w:t xml:space="preserve"> FGrH 688 F14 (36)</w:t>
      </w:r>
    </w:p>
    <w:p w:rsidR="00494A50" w:rsidRPr="00071DA5" w:rsidRDefault="007506AF" w:rsidP="002968AD">
      <w:pPr>
        <w:spacing w:after="60"/>
        <w:jc w:val="both"/>
        <w:rPr>
          <w:rFonts w:cstheme="majorBidi"/>
        </w:rPr>
      </w:pPr>
      <w:r w:rsidRPr="00071DA5">
        <w:rPr>
          <w:rFonts w:cstheme="majorBidi"/>
        </w:rPr>
        <w:t xml:space="preserve">Ἀρτοξέρξης… πέμπει Ἀχαιμενίδην τὸν ἀδελφὸν, τεσσαράκοπντα μὲν μυριάδας </w:t>
      </w:r>
      <w:r w:rsidR="00583211" w:rsidRPr="00071DA5">
        <w:rPr>
          <w:rFonts w:cstheme="majorBidi"/>
          <w:szCs w:val="22"/>
        </w:rPr>
        <w:t>ἐ</w:t>
      </w:r>
      <w:r w:rsidRPr="00071DA5">
        <w:rPr>
          <w:rFonts w:cstheme="majorBidi"/>
        </w:rPr>
        <w:t>παγόμενον στράτευμα πεζικόν, νῆας δὲ π´.</w:t>
      </w:r>
    </w:p>
    <w:p w:rsidR="00494A50" w:rsidRPr="00071DA5" w:rsidRDefault="00494A50" w:rsidP="002968AD">
      <w:pPr>
        <w:spacing w:after="120"/>
        <w:jc w:val="both"/>
        <w:rPr>
          <w:rFonts w:cstheme="majorBidi"/>
        </w:rPr>
      </w:pPr>
      <w:r w:rsidRPr="00071DA5">
        <w:rPr>
          <w:rFonts w:cstheme="majorBidi"/>
        </w:rPr>
        <w:t xml:space="preserve">[Artaxerxes I] </w:t>
      </w:r>
      <w:r w:rsidR="00351F39" w:rsidRPr="00071DA5">
        <w:rPr>
          <w:rFonts w:cstheme="majorBidi"/>
        </w:rPr>
        <w:t>dispatched</w:t>
      </w:r>
      <w:r w:rsidRPr="00071DA5">
        <w:rPr>
          <w:rFonts w:cstheme="majorBidi"/>
        </w:rPr>
        <w:t xml:space="preserve"> his brother Achaemenides, who was furnished with </w:t>
      </w:r>
      <w:r w:rsidR="00351F39" w:rsidRPr="00071DA5">
        <w:rPr>
          <w:rFonts w:cstheme="majorBidi"/>
        </w:rPr>
        <w:t>400,000</w:t>
      </w:r>
      <w:r w:rsidRPr="00071DA5">
        <w:rPr>
          <w:rFonts w:cstheme="majorBidi"/>
        </w:rPr>
        <w:t xml:space="preserve"> infantry and eighty (π´</w:t>
      </w:r>
      <w:r w:rsidR="00583211" w:rsidRPr="00071DA5">
        <w:rPr>
          <w:rFonts w:cstheme="majorBidi"/>
        </w:rPr>
        <w:t>) ships.</w:t>
      </w:r>
    </w:p>
    <w:p w:rsidR="00494A50" w:rsidRPr="00071DA5" w:rsidRDefault="00A8182F" w:rsidP="002968AD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t>2</w:t>
      </w:r>
      <w:r w:rsidR="007506AF" w:rsidRPr="00071DA5">
        <w:rPr>
          <w:rFonts w:cstheme="majorBidi"/>
        </w:rPr>
        <w:t xml:space="preserve">. </w:t>
      </w:r>
      <w:r w:rsidR="00494A50" w:rsidRPr="00071DA5">
        <w:rPr>
          <w:rFonts w:cstheme="majorBidi"/>
        </w:rPr>
        <w:t xml:space="preserve">Diodorus </w:t>
      </w:r>
      <w:r w:rsidR="007506AF" w:rsidRPr="00071DA5">
        <w:rPr>
          <w:rFonts w:cstheme="majorBidi"/>
        </w:rPr>
        <w:t>11.74.1</w:t>
      </w:r>
    </w:p>
    <w:p w:rsidR="007506AF" w:rsidRPr="00071DA5" w:rsidRDefault="007506AF" w:rsidP="002968AD">
      <w:pPr>
        <w:spacing w:after="60" w:line="276" w:lineRule="auto"/>
        <w:jc w:val="both"/>
        <w:rPr>
          <w:rFonts w:cstheme="majorBidi"/>
          <w:szCs w:val="22"/>
        </w:rPr>
      </w:pPr>
      <w:r w:rsidRPr="00071DA5">
        <w:rPr>
          <w:rFonts w:cstheme="majorBidi"/>
          <w:szCs w:val="22"/>
        </w:rPr>
        <w:t xml:space="preserve">ἐπὶ δὲ τούτων Ἀρταξέρξης μὲν ὁ βασιλεὺς τῶν Περσῶν κατέστησε στρατηγὸν ἐπὶ τὸν πρὸς Αἰγυπτίους πόλεμον Ἀχαιμένην τὸν Δαρείου μὲν υἱόν, ἑαυτοῦ δὲ θεῖον: τούτῳ δὲ παραδοὺς στρατιωτῶν ἱππέων τε καὶ πεζῶν ὑπὲρ τὰς τριάκοντα μυριάδας προσέταξε καταπολεμῆσαι τοὺς Αἰγυπτίους. </w:t>
      </w:r>
    </w:p>
    <w:p w:rsidR="00494A50" w:rsidRPr="00071DA5" w:rsidRDefault="007506AF" w:rsidP="002968AD">
      <w:pPr>
        <w:spacing w:after="120" w:line="276" w:lineRule="auto"/>
        <w:jc w:val="both"/>
        <w:rPr>
          <w:rFonts w:cstheme="majorBidi"/>
          <w:szCs w:val="22"/>
        </w:rPr>
      </w:pPr>
      <w:r w:rsidRPr="00071DA5">
        <w:rPr>
          <w:rFonts w:cstheme="majorBidi"/>
          <w:szCs w:val="22"/>
        </w:rPr>
        <w:t>At that time</w:t>
      </w:r>
      <w:r w:rsidR="004728E1" w:rsidRPr="00071DA5">
        <w:rPr>
          <w:rFonts w:cstheme="majorBidi"/>
          <w:szCs w:val="22"/>
        </w:rPr>
        <w:t>,</w:t>
      </w:r>
      <w:r w:rsidRPr="00071DA5">
        <w:rPr>
          <w:rFonts w:cstheme="majorBidi"/>
          <w:szCs w:val="22"/>
        </w:rPr>
        <w:t xml:space="preserve"> Artaxerxes the King of the Persians appointed his uncle Achaemenes</w:t>
      </w:r>
      <w:r w:rsidR="004728E1" w:rsidRPr="00071DA5">
        <w:rPr>
          <w:rFonts w:cstheme="majorBidi"/>
          <w:szCs w:val="22"/>
        </w:rPr>
        <w:t>,</w:t>
      </w:r>
      <w:r w:rsidRPr="00071DA5">
        <w:rPr>
          <w:rFonts w:cstheme="majorBidi"/>
          <w:szCs w:val="22"/>
        </w:rPr>
        <w:t xml:space="preserve"> the son of Darius</w:t>
      </w:r>
      <w:r w:rsidR="004728E1" w:rsidRPr="00071DA5">
        <w:rPr>
          <w:rFonts w:cstheme="majorBidi"/>
          <w:szCs w:val="22"/>
        </w:rPr>
        <w:t>,</w:t>
      </w:r>
      <w:r w:rsidRPr="00071DA5">
        <w:rPr>
          <w:rFonts w:cstheme="majorBidi"/>
          <w:szCs w:val="22"/>
        </w:rPr>
        <w:t xml:space="preserve"> as the general in the war against the Egyptian. He gave him an army of about 300,000 cavalry and infantry and ordered him to subdue the Egyptians. </w:t>
      </w:r>
    </w:p>
    <w:p w:rsidR="00494A50" w:rsidRPr="00071DA5" w:rsidRDefault="00A8182F" w:rsidP="00F52ED9">
      <w:pPr>
        <w:pStyle w:val="Heading3"/>
      </w:pPr>
      <w:r>
        <w:t>B</w:t>
      </w:r>
      <w:r w:rsidR="00494A50" w:rsidRPr="00071DA5">
        <w:t xml:space="preserve">. Naval Engagement in the Nile </w:t>
      </w:r>
    </w:p>
    <w:p w:rsidR="00494A50" w:rsidRPr="00071DA5" w:rsidRDefault="002E0260" w:rsidP="005579EA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t>3</w:t>
      </w:r>
      <w:r w:rsidR="007506AF" w:rsidRPr="00071DA5">
        <w:rPr>
          <w:rFonts w:cstheme="majorBidi"/>
        </w:rPr>
        <w:t xml:space="preserve">. </w:t>
      </w:r>
      <w:r w:rsidR="00494A50" w:rsidRPr="00071DA5">
        <w:rPr>
          <w:rFonts w:cstheme="majorBidi"/>
        </w:rPr>
        <w:t>Ctesias</w:t>
      </w:r>
      <w:r w:rsidR="007506AF" w:rsidRPr="00071DA5">
        <w:rPr>
          <w:rFonts w:cstheme="majorBidi"/>
        </w:rPr>
        <w:t xml:space="preserve"> FGrH 688 F14 (36)</w:t>
      </w:r>
    </w:p>
    <w:p w:rsidR="00F52ED9" w:rsidRPr="00071DA5" w:rsidRDefault="00F52ED9" w:rsidP="005579EA">
      <w:pPr>
        <w:spacing w:after="60"/>
        <w:jc w:val="both"/>
        <w:rPr>
          <w:rFonts w:cstheme="majorBidi"/>
        </w:rPr>
      </w:pPr>
      <w:r w:rsidRPr="00071DA5">
        <w:rPr>
          <w:rFonts w:cstheme="majorBidi"/>
        </w:rPr>
        <w:t>ἐνί</w:t>
      </w:r>
      <w:r w:rsidR="00583211" w:rsidRPr="00071DA5">
        <w:rPr>
          <w:rFonts w:cstheme="majorBidi"/>
        </w:rPr>
        <w:t>κησεν</w:t>
      </w:r>
      <w:r w:rsidR="008E12ED">
        <w:rPr>
          <w:rFonts w:cstheme="majorBidi"/>
        </w:rPr>
        <w:t xml:space="preserve"> </w:t>
      </w:r>
      <w:r w:rsidRPr="00071DA5">
        <w:rPr>
          <w:rFonts w:cstheme="majorBidi"/>
        </w:rPr>
        <w:t xml:space="preserve"> Ἴναρος καὶ κατὰ θάλατταν, Χαριστιμίδου </w:t>
      </w:r>
      <w:r w:rsidR="00583211" w:rsidRPr="00071DA5">
        <w:rPr>
          <w:rFonts w:cstheme="majorBidi"/>
        </w:rPr>
        <w:t>εὐ</w:t>
      </w:r>
      <w:r w:rsidRPr="00071DA5">
        <w:rPr>
          <w:rFonts w:cstheme="majorBidi"/>
        </w:rPr>
        <w:t>δοκιμήσαντος, ὅς τῶν Ἀθηνῶν μ´ νηῶν ἐχρημάτιζε ναύαρχος· καὶ ν´ Περσῶν νῆες αἱ μὲν κ´ αὐτοῖς ἀνδράσιν ἐλήφθησαν, αἱ δὲ λ´ διεφ</w:t>
      </w:r>
      <w:r w:rsidR="007129D1" w:rsidRPr="00071DA5">
        <w:rPr>
          <w:color w:val="000000"/>
          <w:shd w:val="clear" w:color="auto" w:fill="FFFFFF"/>
        </w:rPr>
        <w:t>θ</w:t>
      </w:r>
      <w:r w:rsidRPr="00071DA5">
        <w:rPr>
          <w:rFonts w:cstheme="majorBidi"/>
        </w:rPr>
        <w:t>άρησαν.</w:t>
      </w:r>
    </w:p>
    <w:p w:rsidR="00494A50" w:rsidRPr="00071DA5" w:rsidRDefault="007506AF" w:rsidP="007129D1">
      <w:pPr>
        <w:spacing w:after="120"/>
        <w:jc w:val="both"/>
        <w:rPr>
          <w:rFonts w:cstheme="majorBidi"/>
        </w:rPr>
      </w:pPr>
      <w:r w:rsidRPr="00071DA5">
        <w:rPr>
          <w:rFonts w:cstheme="majorBidi"/>
        </w:rPr>
        <w:t>Inar</w:t>
      </w:r>
      <w:r w:rsidR="00140FAA" w:rsidRPr="00071DA5">
        <w:rPr>
          <w:rFonts w:cstheme="majorBidi"/>
        </w:rPr>
        <w:t>o</w:t>
      </w:r>
      <w:r w:rsidRPr="00071DA5">
        <w:rPr>
          <w:rFonts w:cstheme="majorBidi"/>
        </w:rPr>
        <w:t>s was also victorious at s</w:t>
      </w:r>
      <w:r w:rsidR="00F52ED9" w:rsidRPr="00071DA5">
        <w:rPr>
          <w:rFonts w:cstheme="majorBidi"/>
        </w:rPr>
        <w:t>ea: Charitimides, the commander</w:t>
      </w:r>
      <w:r w:rsidRPr="00071DA5">
        <w:rPr>
          <w:rFonts w:cstheme="majorBidi"/>
        </w:rPr>
        <w:t xml:space="preserve"> of the forty </w:t>
      </w:r>
      <w:r w:rsidR="00863AC8" w:rsidRPr="00071DA5">
        <w:rPr>
          <w:rFonts w:cstheme="majorBidi"/>
        </w:rPr>
        <w:t xml:space="preserve">(μ´) </w:t>
      </w:r>
      <w:r w:rsidRPr="00071DA5">
        <w:rPr>
          <w:rFonts w:cstheme="majorBidi"/>
        </w:rPr>
        <w:t xml:space="preserve">Athenian ships, </w:t>
      </w:r>
      <w:r w:rsidR="00140FAA" w:rsidRPr="00071DA5">
        <w:rPr>
          <w:rFonts w:cstheme="majorBidi"/>
        </w:rPr>
        <w:t>won glory for himself</w:t>
      </w:r>
      <w:r w:rsidRPr="00071DA5">
        <w:rPr>
          <w:rFonts w:cstheme="majorBidi"/>
        </w:rPr>
        <w:t xml:space="preserve"> in a naval</w:t>
      </w:r>
      <w:r w:rsidR="00140FAA" w:rsidRPr="00071DA5">
        <w:rPr>
          <w:rFonts w:cstheme="majorBidi"/>
        </w:rPr>
        <w:t xml:space="preserve"> engagement, in which</w:t>
      </w:r>
      <w:r w:rsidR="00F52ED9" w:rsidRPr="00071DA5">
        <w:rPr>
          <w:rFonts w:cstheme="majorBidi"/>
        </w:rPr>
        <w:t xml:space="preserve"> </w:t>
      </w:r>
      <w:r w:rsidR="00583211" w:rsidRPr="00071DA5">
        <w:rPr>
          <w:rFonts w:cstheme="majorBidi"/>
        </w:rPr>
        <w:t xml:space="preserve">twenty (κ´) </w:t>
      </w:r>
      <w:r w:rsidR="00140FAA" w:rsidRPr="00071DA5">
        <w:rPr>
          <w:rFonts w:cstheme="majorBidi"/>
        </w:rPr>
        <w:t xml:space="preserve">of the </w:t>
      </w:r>
      <w:r w:rsidR="00F52ED9" w:rsidRPr="00071DA5">
        <w:rPr>
          <w:rFonts w:cstheme="majorBidi"/>
        </w:rPr>
        <w:t>fifty (ν´</w:t>
      </w:r>
      <w:r w:rsidR="00583211" w:rsidRPr="00071DA5">
        <w:rPr>
          <w:rFonts w:cstheme="majorBidi"/>
        </w:rPr>
        <w:t>) Persian ships</w:t>
      </w:r>
      <w:r w:rsidR="00F52ED9" w:rsidRPr="00071DA5">
        <w:rPr>
          <w:rFonts w:cstheme="majorBidi"/>
        </w:rPr>
        <w:t xml:space="preserve"> were captured </w:t>
      </w:r>
      <w:r w:rsidR="00583211" w:rsidRPr="00071DA5">
        <w:rPr>
          <w:rFonts w:cstheme="majorBidi"/>
        </w:rPr>
        <w:t>along with</w:t>
      </w:r>
      <w:r w:rsidR="00F52ED9" w:rsidRPr="00071DA5">
        <w:rPr>
          <w:rFonts w:cstheme="majorBidi"/>
        </w:rPr>
        <w:t xml:space="preserve"> their crews, and the remaining thirty (λ´) were </w:t>
      </w:r>
      <w:r w:rsidR="007129D1" w:rsidRPr="00071DA5">
        <w:rPr>
          <w:rFonts w:cstheme="majorBidi"/>
        </w:rPr>
        <w:t>utterly destroyed</w:t>
      </w:r>
      <w:r w:rsidR="00F52ED9" w:rsidRPr="00071DA5">
        <w:rPr>
          <w:rFonts w:cstheme="majorBidi"/>
        </w:rPr>
        <w:t>.</w:t>
      </w:r>
    </w:p>
    <w:p w:rsidR="00494A50" w:rsidRPr="00071DA5" w:rsidRDefault="002E0260" w:rsidP="005579EA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t>4</w:t>
      </w:r>
      <w:r w:rsidR="007506AF" w:rsidRPr="00071DA5">
        <w:rPr>
          <w:rFonts w:cstheme="majorBidi"/>
        </w:rPr>
        <w:t xml:space="preserve">. </w:t>
      </w:r>
      <w:r w:rsidR="00A9721D" w:rsidRPr="00A9721D">
        <w:rPr>
          <w:rFonts w:cstheme="majorBidi"/>
        </w:rPr>
        <w:t>IG XII,6 1:279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310"/>
      </w:tblGrid>
      <w:tr w:rsidR="00C558B8" w:rsidRPr="00071DA5" w:rsidTr="00C558B8">
        <w:tc>
          <w:tcPr>
            <w:tcW w:w="355" w:type="dxa"/>
          </w:tcPr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  <w:r w:rsidRPr="00071DA5">
              <w:rPr>
                <w:rFonts w:cstheme="majorBidi"/>
              </w:rPr>
              <w:t>5</w:t>
            </w: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</w:p>
        </w:tc>
        <w:tc>
          <w:tcPr>
            <w:tcW w:w="5310" w:type="dxa"/>
          </w:tcPr>
          <w:p w:rsidR="00C558B8" w:rsidRPr="00071DA5" w:rsidRDefault="00C558B8" w:rsidP="00071DA5">
            <w:pPr>
              <w:jc w:val="both"/>
              <w:rPr>
                <w:rFonts w:cstheme="majorBidi"/>
              </w:rPr>
            </w:pPr>
            <w:r w:rsidRPr="00071DA5">
              <w:rPr>
                <w:rFonts w:cstheme="majorBidi"/>
              </w:rPr>
              <w:t>[τόδ</w:t>
            </w:r>
            <w:r w:rsidR="00AA7983">
              <w:rPr>
                <w:rFonts w:cstheme="majorBidi"/>
              </w:rPr>
              <w:t>ʾ</w:t>
            </w:r>
            <w:r w:rsidRPr="00071DA5">
              <w:rPr>
                <w:rFonts w:cstheme="majorBidi"/>
              </w:rPr>
              <w:t>] ἔργο πολλοὶ</w:t>
            </w:r>
            <w:r w:rsidR="00071DA5" w:rsidRPr="00071DA5">
              <w:rPr>
                <w:rFonts w:cstheme="majorBidi"/>
              </w:rPr>
              <w:t xml:space="preserve"> π̣α̣ρ</w:t>
            </w:r>
            <w:r w:rsidR="007E1B2F" w:rsidRPr="007E1B2F">
              <w:rPr>
                <w:rFonts w:cstheme="majorBidi"/>
              </w:rPr>
              <w:t>ὰ</w:t>
            </w:r>
            <w:r w:rsidR="007E1B2F">
              <w:rPr>
                <w:rFonts w:cstheme="majorBidi"/>
              </w:rPr>
              <w:t>̣</w:t>
            </w:r>
            <w:r w:rsidR="00071DA5" w:rsidRPr="00071DA5">
              <w:rPr>
                <w:rFonts w:cstheme="majorBidi"/>
              </w:rPr>
              <w:t xml:space="preserve"> </w:t>
            </w:r>
            <w:r w:rsidRPr="00071DA5">
              <w:rPr>
                <w:rFonts w:cstheme="majorBidi"/>
              </w:rPr>
              <w:t>[μάρ]</w:t>
            </w:r>
            <w:r w:rsidR="00071DA5" w:rsidRPr="00071DA5">
              <w:rPr>
                <w:rFonts w:cstheme="majorBidi"/>
              </w:rPr>
              <w:t>τ</w:t>
            </w:r>
            <w:r w:rsidR="0035334B">
              <w:rPr>
                <w:rFonts w:cstheme="majorBidi"/>
              </w:rPr>
              <w:t>̣</w:t>
            </w:r>
            <w:r w:rsidR="00071DA5" w:rsidRPr="00071DA5">
              <w:rPr>
                <w:rFonts w:cstheme="majorBidi"/>
              </w:rPr>
              <w:t>υ</w:t>
            </w:r>
            <w:r w:rsidR="0035334B">
              <w:rPr>
                <w:rFonts w:cstheme="majorBidi"/>
              </w:rPr>
              <w:t>̣</w:t>
            </w:r>
            <w:r w:rsidR="00071DA5" w:rsidRPr="00071DA5">
              <w:rPr>
                <w:rFonts w:cstheme="majorBidi"/>
              </w:rPr>
              <w:t>ρ̣ε</w:t>
            </w:r>
            <w:r w:rsidR="0035334B">
              <w:rPr>
                <w:rFonts w:cstheme="majorBidi"/>
              </w:rPr>
              <w:t>̣</w:t>
            </w:r>
            <w:r w:rsidRPr="00071DA5">
              <w:rPr>
                <w:rFonts w:cstheme="majorBidi"/>
              </w:rPr>
              <w:t>[ς, εὖτ</w:t>
            </w:r>
            <w:r w:rsidR="007E1B2F">
              <w:rPr>
                <w:rFonts w:cstheme="majorBidi"/>
              </w:rPr>
              <w:t>ʾ</w:t>
            </w:r>
            <w:r w:rsidRPr="00071DA5">
              <w:rPr>
                <w:rFonts w:cstheme="majorBidi"/>
              </w:rPr>
              <w:t xml:space="preserve"> ἐπὶ Νείλωι]</w:t>
            </w: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  <w:r w:rsidRPr="00071DA5">
              <w:rPr>
                <w:rFonts w:cstheme="majorBidi"/>
              </w:rPr>
              <w:t>[Μέμ]φιος ἀμφʼ ἐρατῆς νηυσὶν ἔθνκ̣[ε μάχην]</w:t>
            </w: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  <w:r w:rsidRPr="00071DA5">
              <w:rPr>
                <w:rFonts w:cstheme="majorBidi"/>
              </w:rPr>
              <w:t>[θο]ῦ̣ρος  Ἄρης Μήδων τε καὶ Ἑλλήν[ων, Σάμιοι δὲ]</w:t>
            </w:r>
          </w:p>
          <w:p w:rsidR="00C558B8" w:rsidRPr="00071DA5" w:rsidRDefault="00C558B8" w:rsidP="00F52ED9">
            <w:pPr>
              <w:jc w:val="both"/>
              <w:rPr>
                <w:rFonts w:cstheme="majorBidi"/>
              </w:rPr>
            </w:pPr>
            <w:r w:rsidRPr="00071DA5">
              <w:rPr>
                <w:rFonts w:cstheme="majorBidi"/>
              </w:rPr>
              <w:t>[νῆ]ας Φοινίκων πέντε τε καὶ δ[έκ</w:t>
            </w:r>
            <w:r w:rsidR="007E1B2F">
              <w:rPr>
                <w:rFonts w:cstheme="majorBidi"/>
              </w:rPr>
              <w:t>ʾ</w:t>
            </w:r>
            <w:r w:rsidRPr="00071DA5">
              <w:rPr>
                <w:rFonts w:cstheme="majorBidi"/>
              </w:rPr>
              <w:t xml:space="preserve"> ἕλον·]</w:t>
            </w:r>
          </w:p>
          <w:p w:rsidR="00C558B8" w:rsidRDefault="00A9721D" w:rsidP="00A9721D">
            <w:pPr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[-] </w:t>
            </w:r>
            <w:r w:rsidR="00C558B8" w:rsidRPr="00A412B1">
              <w:rPr>
                <w:rFonts w:cstheme="majorBidi"/>
              </w:rPr>
              <w:t>Ἡγησαγ</w:t>
            </w:r>
            <w:r w:rsidRPr="00A412B1">
              <w:rPr>
                <w:rFonts w:cstheme="majorBidi"/>
              </w:rPr>
              <w:t>̣</w:t>
            </w:r>
            <w:r w:rsidR="00C558B8" w:rsidRPr="00A412B1">
              <w:rPr>
                <w:rFonts w:cstheme="majorBidi"/>
              </w:rPr>
              <w:t>όρην Ζωι</w:t>
            </w:r>
            <w:r w:rsidRPr="00A412B1">
              <w:rPr>
                <w:rFonts w:cstheme="majorBidi"/>
              </w:rPr>
              <w:t>ϊ</w:t>
            </w:r>
            <w:r w:rsidR="00C558B8" w:rsidRPr="00A412B1">
              <w:rPr>
                <w:rFonts w:cstheme="majorBidi"/>
              </w:rPr>
              <w:t>λό</w:t>
            </w:r>
            <w:r w:rsidRPr="00A412B1">
              <w:rPr>
                <w:rFonts w:cstheme="majorBidi"/>
              </w:rPr>
              <w:t>,</w:t>
            </w:r>
            <w:r w:rsidR="00C558B8" w:rsidRPr="00A412B1">
              <w:rPr>
                <w:rFonts w:cstheme="majorBidi"/>
              </w:rPr>
              <w:t xml:space="preserve"> </w:t>
            </w:r>
            <w:r w:rsidR="00A412B1" w:rsidRPr="00A412B1">
              <w:rPr>
                <w:color w:val="000000"/>
                <w:shd w:val="clear" w:color="auto" w:fill="FFFFFF"/>
              </w:rPr>
              <w:t xml:space="preserve">τὸ </w:t>
            </w:r>
            <w:r w:rsidR="00C558B8" w:rsidRPr="00A412B1">
              <w:rPr>
                <w:rFonts w:cstheme="majorBidi"/>
              </w:rPr>
              <w:t>καὶ</w:t>
            </w:r>
            <w:r w:rsidR="00C558B8" w:rsidRPr="00071DA5">
              <w:rPr>
                <w:rFonts w:cstheme="majorBidi"/>
              </w:rPr>
              <w:t xml:space="preserve"> [---]</w:t>
            </w:r>
          </w:p>
          <w:p w:rsidR="00287387" w:rsidRDefault="00287387" w:rsidP="00A9721D">
            <w:pPr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[</w:t>
            </w:r>
            <w:r w:rsidRPr="00287387">
              <w:rPr>
                <w:rFonts w:cstheme="majorBidi"/>
              </w:rPr>
              <w:t>— — — — — — — — — — — — — — —</w:t>
            </w:r>
            <w:r>
              <w:rPr>
                <w:rFonts w:cstheme="majorBidi"/>
              </w:rPr>
              <w:t>]</w:t>
            </w:r>
          </w:p>
          <w:p w:rsidR="00287387" w:rsidRPr="00071DA5" w:rsidRDefault="00287387" w:rsidP="005579EA">
            <w:pPr>
              <w:spacing w:after="60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[</w:t>
            </w:r>
            <w:r w:rsidRPr="00287387">
              <w:rPr>
                <w:rFonts w:cstheme="majorBidi"/>
              </w:rPr>
              <w:t>— — — — — — — — — — — — — — —</w:t>
            </w:r>
            <w:r>
              <w:rPr>
                <w:rFonts w:cstheme="majorBidi"/>
              </w:rPr>
              <w:t>]</w:t>
            </w:r>
          </w:p>
        </w:tc>
      </w:tr>
    </w:tbl>
    <w:p w:rsidR="002941B5" w:rsidRPr="00071DA5" w:rsidRDefault="00C558B8" w:rsidP="001C6A8C">
      <w:pPr>
        <w:spacing w:after="120"/>
        <w:jc w:val="both"/>
        <w:rPr>
          <w:rFonts w:cstheme="majorBidi"/>
        </w:rPr>
      </w:pPr>
      <w:r w:rsidRPr="00071DA5">
        <w:rPr>
          <w:rFonts w:cstheme="majorBidi"/>
        </w:rPr>
        <w:t>The following deed</w:t>
      </w:r>
      <w:r w:rsidR="00A9721D">
        <w:rPr>
          <w:rFonts w:cstheme="majorBidi"/>
        </w:rPr>
        <w:t xml:space="preserve">, on account of </w:t>
      </w:r>
      <w:r w:rsidR="001C6A8C">
        <w:rPr>
          <w:rFonts w:cstheme="majorBidi"/>
        </w:rPr>
        <w:t xml:space="preserve">many </w:t>
      </w:r>
      <w:r w:rsidR="00A9721D">
        <w:rPr>
          <w:rFonts w:cstheme="majorBidi"/>
        </w:rPr>
        <w:t>witness</w:t>
      </w:r>
      <w:r w:rsidR="001C6A8C">
        <w:rPr>
          <w:rFonts w:cstheme="majorBidi"/>
        </w:rPr>
        <w:t>es</w:t>
      </w:r>
      <w:bookmarkStart w:id="0" w:name="_GoBack"/>
      <w:bookmarkEnd w:id="0"/>
      <w:r w:rsidR="00A9721D">
        <w:rPr>
          <w:rFonts w:cstheme="majorBidi"/>
        </w:rPr>
        <w:t>, when on the Nile n</w:t>
      </w:r>
      <w:r w:rsidR="007506AF" w:rsidRPr="00071DA5">
        <w:rPr>
          <w:rFonts w:cstheme="majorBidi"/>
        </w:rPr>
        <w:t xml:space="preserve">ear beloved Memphis </w:t>
      </w:r>
      <w:r w:rsidRPr="00071DA5">
        <w:rPr>
          <w:rFonts w:cstheme="majorBidi"/>
        </w:rPr>
        <w:t xml:space="preserve">furious </w:t>
      </w:r>
      <w:r w:rsidR="007506AF" w:rsidRPr="00071DA5">
        <w:rPr>
          <w:rFonts w:cstheme="majorBidi"/>
        </w:rPr>
        <w:t xml:space="preserve">Ares set a battle between the </w:t>
      </w:r>
      <w:r w:rsidRPr="00071DA5">
        <w:rPr>
          <w:rFonts w:cstheme="majorBidi"/>
        </w:rPr>
        <w:t xml:space="preserve">ships of the </w:t>
      </w:r>
      <w:r w:rsidR="007506AF" w:rsidRPr="00071DA5">
        <w:rPr>
          <w:rFonts w:cstheme="majorBidi"/>
        </w:rPr>
        <w:t xml:space="preserve">Persians and the Greeks, and the Samians captured fifteen Phoenician ships. </w:t>
      </w:r>
      <w:r w:rsidRPr="00071DA5">
        <w:rPr>
          <w:rFonts w:cstheme="majorBidi"/>
        </w:rPr>
        <w:t>Hegesagor</w:t>
      </w:r>
      <w:r w:rsidR="00A9721D">
        <w:rPr>
          <w:rFonts w:cstheme="majorBidi"/>
        </w:rPr>
        <w:t>a</w:t>
      </w:r>
      <w:r w:rsidRPr="00071DA5">
        <w:rPr>
          <w:rFonts w:cstheme="majorBidi"/>
        </w:rPr>
        <w:t xml:space="preserve">s son of </w:t>
      </w:r>
      <w:r w:rsidR="00A9721D" w:rsidRPr="00A9721D">
        <w:rPr>
          <w:rFonts w:cstheme="majorBidi"/>
        </w:rPr>
        <w:t>Zoilos</w:t>
      </w:r>
      <w:r w:rsidRPr="00071DA5">
        <w:rPr>
          <w:rFonts w:cstheme="majorBidi"/>
        </w:rPr>
        <w:t>…</w:t>
      </w:r>
    </w:p>
    <w:p w:rsidR="00494A50" w:rsidRPr="00071DA5" w:rsidRDefault="00A8182F" w:rsidP="00A8182F">
      <w:pPr>
        <w:pStyle w:val="Heading3"/>
      </w:pPr>
      <w:r>
        <w:t>C</w:t>
      </w:r>
      <w:r w:rsidR="00494A50" w:rsidRPr="00071DA5">
        <w:t xml:space="preserve">. </w:t>
      </w:r>
      <w:r w:rsidR="00266A02" w:rsidRPr="00071DA5">
        <w:t xml:space="preserve">The </w:t>
      </w:r>
      <w:r w:rsidR="00494A50" w:rsidRPr="00071DA5">
        <w:t xml:space="preserve">First Round of Hostilities </w:t>
      </w:r>
    </w:p>
    <w:p w:rsidR="00494A50" w:rsidRPr="00071DA5" w:rsidRDefault="002E0260" w:rsidP="005579EA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t>5</w:t>
      </w:r>
      <w:r>
        <w:rPr>
          <w:rFonts w:cstheme="majorBidi"/>
        </w:rPr>
        <w:t>. Thucydides</w:t>
      </w:r>
      <w:r w:rsidR="00831EBF" w:rsidRPr="00071DA5">
        <w:rPr>
          <w:rFonts w:cstheme="majorBidi"/>
        </w:rPr>
        <w:t xml:space="preserve"> 1.104.1</w:t>
      </w:r>
    </w:p>
    <w:p w:rsidR="00831EBF" w:rsidRPr="00071DA5" w:rsidRDefault="00831EBF" w:rsidP="005579EA">
      <w:pPr>
        <w:spacing w:after="60"/>
        <w:jc w:val="both"/>
        <w:rPr>
          <w:rFonts w:cstheme="majorBidi"/>
        </w:rPr>
      </w:pPr>
      <w:r w:rsidRPr="00071DA5">
        <w:rPr>
          <w:rFonts w:cstheme="majorBidi"/>
        </w:rPr>
        <w:t>Ἰνάρως δὲ ὁ Ψαμμητίχου, Λίβυς, βασιλεὺς Λιβύων τῶν πρὸς Αἰγύπτῳ, ὁρμώμενος ἐκ Μαρείας τῆς ὑπὲρ Φάρου πόλεως ἀπέστησεν Αἰγύπτου τὰ πλείω ἀπὸ βασιλέως Ἀρταξέρξου, καὶ αὐτὸς ἄρχων γενόμενος Ἀθηναίους ἐπηγάγετο.</w:t>
      </w:r>
    </w:p>
    <w:p w:rsidR="00831EBF" w:rsidRPr="00071DA5" w:rsidRDefault="00DC270F" w:rsidP="00DC270F">
      <w:pPr>
        <w:spacing w:after="60"/>
        <w:jc w:val="both"/>
        <w:rPr>
          <w:rFonts w:cstheme="majorBidi"/>
        </w:rPr>
      </w:pPr>
      <w:r w:rsidRPr="00071DA5">
        <w:rPr>
          <w:rFonts w:cstheme="majorBidi"/>
        </w:rPr>
        <w:t>Inaro</w:t>
      </w:r>
      <w:r w:rsidR="00831EBF" w:rsidRPr="00071DA5">
        <w:rPr>
          <w:rFonts w:cstheme="majorBidi"/>
        </w:rPr>
        <w:t>s</w:t>
      </w:r>
      <w:r w:rsidRPr="00071DA5">
        <w:rPr>
          <w:rFonts w:cstheme="majorBidi"/>
        </w:rPr>
        <w:t>, the son of Psammetichus, a Liby</w:t>
      </w:r>
      <w:r w:rsidR="00831EBF" w:rsidRPr="00071DA5">
        <w:rPr>
          <w:rFonts w:cstheme="majorBidi"/>
        </w:rPr>
        <w:t>a</w:t>
      </w:r>
      <w:r w:rsidRPr="00071DA5">
        <w:rPr>
          <w:rFonts w:cstheme="majorBidi"/>
        </w:rPr>
        <w:t>n</w:t>
      </w:r>
      <w:r w:rsidR="00831EBF" w:rsidRPr="00071DA5">
        <w:rPr>
          <w:rFonts w:cstheme="majorBidi"/>
        </w:rPr>
        <w:t>, king of the Libyans adjacent to Egypt, marched from Mare</w:t>
      </w:r>
      <w:r w:rsidRPr="00071DA5">
        <w:rPr>
          <w:rFonts w:cstheme="majorBidi"/>
        </w:rPr>
        <w:t>i</w:t>
      </w:r>
      <w:r w:rsidR="00831EBF" w:rsidRPr="00071DA5">
        <w:rPr>
          <w:rFonts w:cstheme="majorBidi"/>
        </w:rPr>
        <w:t xml:space="preserve">a, a city </w:t>
      </w:r>
      <w:r w:rsidRPr="00071DA5">
        <w:rPr>
          <w:rFonts w:cstheme="majorBidi"/>
        </w:rPr>
        <w:t>beyond</w:t>
      </w:r>
      <w:r w:rsidR="00831EBF" w:rsidRPr="00071DA5">
        <w:rPr>
          <w:rFonts w:cstheme="majorBidi"/>
        </w:rPr>
        <w:t xml:space="preserve"> Pharos, and incited the whole of Egypt to revolt from King Artaxerxes, and after asserting his rule, </w:t>
      </w:r>
      <w:r w:rsidRPr="00071DA5">
        <w:rPr>
          <w:rFonts w:cstheme="majorBidi"/>
        </w:rPr>
        <w:t xml:space="preserve">[Inaros] </w:t>
      </w:r>
      <w:r w:rsidR="00831EBF" w:rsidRPr="00071DA5">
        <w:rPr>
          <w:rFonts w:cstheme="majorBidi"/>
        </w:rPr>
        <w:t>appealed the Athenians.</w:t>
      </w:r>
    </w:p>
    <w:p w:rsidR="00494A50" w:rsidRPr="00071DA5" w:rsidRDefault="002E0260" w:rsidP="005579EA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lastRenderedPageBreak/>
        <w:t>6</w:t>
      </w:r>
      <w:r w:rsidR="00831EBF" w:rsidRPr="00071DA5">
        <w:rPr>
          <w:rFonts w:cstheme="majorBidi"/>
        </w:rPr>
        <w:t>. Ctesias FGr</w:t>
      </w:r>
      <w:r w:rsidR="001B413D" w:rsidRPr="00071DA5">
        <w:rPr>
          <w:rFonts w:cstheme="majorBidi"/>
        </w:rPr>
        <w:t>H</w:t>
      </w:r>
      <w:r w:rsidR="00831EBF" w:rsidRPr="00071DA5">
        <w:rPr>
          <w:rFonts w:cstheme="majorBidi"/>
        </w:rPr>
        <w:t xml:space="preserve"> 688 F14 (36)</w:t>
      </w:r>
    </w:p>
    <w:p w:rsidR="00831EBF" w:rsidRPr="00071DA5" w:rsidRDefault="00831EBF" w:rsidP="005579EA">
      <w:pPr>
        <w:spacing w:after="60"/>
        <w:jc w:val="both"/>
        <w:rPr>
          <w:rFonts w:cstheme="majorBidi"/>
        </w:rPr>
      </w:pPr>
      <w:r w:rsidRPr="00071DA5">
        <w:rPr>
          <w:rFonts w:cstheme="majorBidi"/>
        </w:rPr>
        <w:t>ἀφίσταται Αἴγψπτος, Ἰνάρου Λιβύου ἀνδρὸς καὶ ἑτέρου Αἰγὑπτίου τὴν ἀπόστασιν μελετησάντων, καὶ εὐτρεπίζεται τὰ πρὸς πόλεμον</w:t>
      </w:r>
      <w:r w:rsidR="00DC270F" w:rsidRPr="00071DA5">
        <w:rPr>
          <w:rFonts w:cstheme="majorBidi"/>
        </w:rPr>
        <w:t>.</w:t>
      </w:r>
    </w:p>
    <w:p w:rsidR="00831EBF" w:rsidRPr="00071DA5" w:rsidRDefault="00C56028" w:rsidP="005579EA">
      <w:pPr>
        <w:spacing w:after="120"/>
        <w:jc w:val="both"/>
        <w:rPr>
          <w:rFonts w:cstheme="majorBidi"/>
        </w:rPr>
      </w:pPr>
      <w:r>
        <w:rPr>
          <w:rFonts w:cstheme="majorBidi"/>
        </w:rPr>
        <w:t>Egypt revolted,</w:t>
      </w:r>
      <w:r w:rsidR="00831EBF" w:rsidRPr="00071DA5">
        <w:rPr>
          <w:rFonts w:cstheme="majorBidi"/>
        </w:rPr>
        <w:t xml:space="preserve"> after a rebellion was instigated by Inaros and another Egyptian, and preparations </w:t>
      </w:r>
      <w:r>
        <w:rPr>
          <w:rFonts w:cstheme="majorBidi"/>
        </w:rPr>
        <w:t xml:space="preserve">were made </w:t>
      </w:r>
      <w:r w:rsidR="00831EBF" w:rsidRPr="00071DA5">
        <w:rPr>
          <w:rFonts w:cstheme="majorBidi"/>
        </w:rPr>
        <w:t>for war.</w:t>
      </w:r>
    </w:p>
    <w:p w:rsidR="00831EBF" w:rsidRPr="00071DA5" w:rsidRDefault="002E0260" w:rsidP="005579EA">
      <w:pPr>
        <w:spacing w:after="60"/>
        <w:jc w:val="both"/>
        <w:rPr>
          <w:rFonts w:cstheme="majorBidi"/>
        </w:rPr>
      </w:pPr>
      <w:r>
        <w:rPr>
          <w:rFonts w:cstheme="majorBidi"/>
          <w:b/>
          <w:bCs/>
        </w:rPr>
        <w:t>7</w:t>
      </w:r>
      <w:r w:rsidR="00A8182F">
        <w:rPr>
          <w:rFonts w:cstheme="majorBidi"/>
          <w:b/>
          <w:bCs/>
        </w:rPr>
        <w:t>.</w:t>
      </w:r>
      <w:r>
        <w:rPr>
          <w:rFonts w:cstheme="majorBidi"/>
        </w:rPr>
        <w:t xml:space="preserve"> Diodorus</w:t>
      </w:r>
      <w:r w:rsidR="00831EBF" w:rsidRPr="00071DA5">
        <w:rPr>
          <w:rFonts w:cstheme="majorBidi"/>
        </w:rPr>
        <w:t xml:space="preserve"> 11.71.3</w:t>
      </w:r>
    </w:p>
    <w:p w:rsidR="00831EBF" w:rsidRPr="00071DA5" w:rsidRDefault="00831EBF" w:rsidP="005579EA">
      <w:pPr>
        <w:spacing w:after="60"/>
        <w:jc w:val="both"/>
        <w:rPr>
          <w:rFonts w:cstheme="majorBidi"/>
          <w:szCs w:val="22"/>
        </w:rPr>
      </w:pPr>
      <w:r w:rsidRPr="00071DA5">
        <w:rPr>
          <w:rFonts w:cstheme="majorBidi"/>
          <w:szCs w:val="22"/>
        </w:rPr>
        <w:t>εὐθὺς οὖν ἀθροίσαντες δύναμιν ἀπέστησαν τῶν Περσῶν, καὶ τοὺς φορολογοῦντας τὴν Αἴγυπτον τῶν Περσῶν ἐκβαλόντες κατέστησαν βασιλέα τὸν ὀνομαζόμενον Ἰναρώ.</w:t>
      </w:r>
    </w:p>
    <w:p w:rsidR="00452D85" w:rsidRDefault="00831EBF" w:rsidP="00452D85">
      <w:pPr>
        <w:jc w:val="both"/>
        <w:rPr>
          <w:rFonts w:cstheme="majorBidi"/>
          <w:szCs w:val="22"/>
        </w:rPr>
      </w:pPr>
      <w:r w:rsidRPr="00071DA5">
        <w:rPr>
          <w:rFonts w:cstheme="majorBidi"/>
          <w:szCs w:val="22"/>
        </w:rPr>
        <w:t xml:space="preserve">The Egyptians soon gathered an army and revolted from the Persians, and after they expelled the Persian tax-collectors from Egypt they conferred the kingship upon a man called Inaros.  </w:t>
      </w:r>
    </w:p>
    <w:p w:rsidR="00A750DA" w:rsidRPr="00071DA5" w:rsidRDefault="00A750DA" w:rsidP="00452D85">
      <w:pPr>
        <w:jc w:val="both"/>
        <w:rPr>
          <w:rFonts w:cstheme="majorBidi"/>
          <w:szCs w:val="22"/>
        </w:rPr>
      </w:pPr>
    </w:p>
    <w:p w:rsidR="00831EBF" w:rsidRPr="00071DA5" w:rsidRDefault="00831EBF" w:rsidP="00F52ED9">
      <w:pPr>
        <w:jc w:val="both"/>
        <w:rPr>
          <w:rFonts w:cstheme="majorBidi"/>
          <w:szCs w:val="22"/>
        </w:rPr>
      </w:pPr>
    </w:p>
    <w:p w:rsidR="00831EBF" w:rsidRPr="00071DA5" w:rsidRDefault="00F52ED9" w:rsidP="00F52ED9">
      <w:pPr>
        <w:jc w:val="center"/>
        <w:rPr>
          <w:rFonts w:cstheme="majorBidi"/>
          <w:b/>
          <w:bCs/>
          <w:sz w:val="32"/>
          <w:szCs w:val="36"/>
        </w:rPr>
      </w:pPr>
      <w:r w:rsidRPr="00071DA5">
        <w:rPr>
          <w:rFonts w:cstheme="majorBidi"/>
          <w:b/>
          <w:bCs/>
          <w:sz w:val="32"/>
          <w:szCs w:val="36"/>
        </w:rPr>
        <w:t>The Achaemenid Dynasty</w:t>
      </w:r>
    </w:p>
    <w:p w:rsidR="00F52ED9" w:rsidRPr="00071DA5" w:rsidRDefault="00F52ED9" w:rsidP="00A412B1">
      <w:pPr>
        <w:jc w:val="center"/>
        <w:rPr>
          <w:rFonts w:cstheme="majorBidi"/>
        </w:rPr>
      </w:pPr>
    </w:p>
    <w:p w:rsidR="00F52ED9" w:rsidRPr="00071DA5" w:rsidRDefault="00A750DA" w:rsidP="00F52ED9">
      <w:pPr>
        <w:jc w:val="both"/>
        <w:rPr>
          <w:rFonts w:cstheme="majorBidi"/>
        </w:rPr>
      </w:pPr>
      <w:r>
        <w:rPr>
          <w:rFonts w:cstheme="majorBidi"/>
          <w:noProof/>
          <w:lang w:bidi="he-IL"/>
        </w:rPr>
        <w:drawing>
          <wp:inline distT="0" distB="0" distL="0" distR="0">
            <wp:extent cx="5943600" cy="2722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chaemenid Dynasty [diagram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Default="00A750DA" w:rsidP="00A750DA"/>
    <w:p w:rsidR="00A750DA" w:rsidRPr="00A750DA" w:rsidRDefault="00A750DA" w:rsidP="00A750DA"/>
    <w:p w:rsidR="00F52ED9" w:rsidRPr="00071DA5" w:rsidRDefault="00F8113F" w:rsidP="00F52ED9">
      <w:pPr>
        <w:pStyle w:val="Heading3"/>
      </w:pPr>
      <w:r>
        <w:t>Select</w:t>
      </w:r>
      <w:r w:rsidR="00F52ED9" w:rsidRPr="00071DA5">
        <w:t xml:space="preserve"> Bibliography </w:t>
      </w:r>
    </w:p>
    <w:p w:rsidR="00F52ED9" w:rsidRPr="00071DA5" w:rsidRDefault="00F52ED9" w:rsidP="00DE287D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fldChar w:fldCharType="begin"/>
      </w:r>
      <w:r w:rsidRPr="00071DA5">
        <w:rPr>
          <w:rFonts w:cstheme="majorBidi"/>
        </w:rPr>
        <w:instrText xml:space="preserve"> ADDIN ZOTERO_BIBL {"custom":[]} CSL_BIBLIOGRAPHY </w:instrText>
      </w:r>
      <w:r w:rsidRPr="00071DA5">
        <w:rPr>
          <w:rFonts w:cstheme="majorBidi"/>
        </w:rPr>
        <w:fldChar w:fldCharType="separate"/>
      </w:r>
      <w:r w:rsidRPr="00071DA5">
        <w:rPr>
          <w:rFonts w:cstheme="majorBidi"/>
        </w:rPr>
        <w:t xml:space="preserve">Adcock, F. E. 1926. “The Athenian Forces in the Egyptian Expedition.” </w:t>
      </w:r>
      <w:r w:rsidRPr="00071DA5">
        <w:rPr>
          <w:rFonts w:cstheme="majorBidi"/>
          <w:i/>
          <w:iCs/>
        </w:rPr>
        <w:t>Proceedings of the Cambridge Philological Society</w:t>
      </w:r>
      <w:r w:rsidRPr="00071DA5">
        <w:rPr>
          <w:rFonts w:cstheme="majorBidi"/>
        </w:rPr>
        <w:t xml:space="preserve"> 133: 3–5.</w:t>
      </w:r>
    </w:p>
    <w:p w:rsidR="00ED47A2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Argentati, Argentina. 1953. “La Spedizione in Egitto (459-454? A. C.) Nel Quadro Della Politica Estera Ateniese.” </w:t>
      </w:r>
      <w:r w:rsidRPr="00071DA5">
        <w:rPr>
          <w:rFonts w:cstheme="majorBidi"/>
          <w:i/>
          <w:iCs/>
        </w:rPr>
        <w:t>Acme: Annali Della Facoltà Di Lettere E Filosofia dell’Università Degli Studi Di Milano</w:t>
      </w:r>
      <w:r w:rsidRPr="00071DA5">
        <w:rPr>
          <w:rFonts w:cstheme="majorBidi"/>
        </w:rPr>
        <w:t xml:space="preserve"> 6 (3): 379–404.</w:t>
      </w:r>
    </w:p>
    <w:p w:rsidR="00ED47A2" w:rsidRPr="00071DA5" w:rsidRDefault="00ED47A2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Bichler, Reinhold. 2004. “Ktesias „korrigiert“ Herodot. Zur Literarischen Einschätzung Der Persika.” In </w:t>
      </w:r>
      <w:r w:rsidRPr="00071DA5">
        <w:rPr>
          <w:rFonts w:cstheme="majorBidi"/>
          <w:i/>
          <w:iCs/>
        </w:rPr>
        <w:t>Ad Fontes! - Festschrift Für Gerhard Dobesch Zum Fünfundsechzigsten Geburtstag Am 15. September 2004: Dargebracht von Kollegen, Schülern Und Freunden</w:t>
      </w:r>
      <w:r w:rsidRPr="00071DA5">
        <w:rPr>
          <w:rFonts w:cstheme="majorBidi"/>
        </w:rPr>
        <w:t>, edited by G. Dobesch, H. Heftner, and K. Tomaschitz, 105–16. Wien: Im Eigenverlag der Herausgeber.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Bichler, Reinhold. 2006. “Der Lyder Inaros. Über Die ägyptische Revolte Des Ktesias von Knidos.” In </w:t>
      </w:r>
      <w:r w:rsidRPr="00071DA5">
        <w:rPr>
          <w:rFonts w:cstheme="majorBidi"/>
          <w:i/>
          <w:iCs/>
        </w:rPr>
        <w:t>Ltertum Und Mittelmeerraum : Die Antike Welt Diesseits Und Jenseits Der Levante : Festschrift Für Peter W. Haider Zum 60. Geburtstag</w:t>
      </w:r>
      <w:r w:rsidRPr="00071DA5">
        <w:rPr>
          <w:rFonts w:cstheme="majorBidi"/>
        </w:rPr>
        <w:t>, edited by R. Rollinger, B. Truschnegg, and P. W. Haider, 445–59. Stuttgart: Franz Steiner Verlag.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Bigwood, Joan M. 1976. “Ctesias’ Account of the Revolt of Inarus.” </w:t>
      </w:r>
      <w:r w:rsidRPr="00071DA5">
        <w:rPr>
          <w:rFonts w:cstheme="majorBidi"/>
          <w:i/>
          <w:iCs/>
        </w:rPr>
        <w:t>The Phoenix</w:t>
      </w:r>
      <w:r w:rsidRPr="00071DA5">
        <w:rPr>
          <w:rFonts w:cstheme="majorBidi"/>
        </w:rPr>
        <w:t xml:space="preserve"> 30 (1): 1–25.</w:t>
      </w:r>
    </w:p>
    <w:p w:rsidR="00ED47A2" w:rsidRPr="00071DA5" w:rsidRDefault="00ED47A2" w:rsidP="00ED47A2">
      <w:pPr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Briant, Pierre. 2002. </w:t>
      </w:r>
      <w:r w:rsidRPr="00071DA5">
        <w:rPr>
          <w:rFonts w:cstheme="majorBidi"/>
          <w:i/>
          <w:iCs/>
        </w:rPr>
        <w:t>From Cyrus to Alexander: A History of the Persian Empire</w:t>
      </w:r>
      <w:r w:rsidRPr="00071DA5">
        <w:rPr>
          <w:rFonts w:cstheme="majorBidi"/>
        </w:rPr>
        <w:t>. Trans. P. T. Daniels. Winona Lake, IN: Eisenbrauns.</w:t>
      </w:r>
    </w:p>
    <w:p w:rsidR="00ED47A2" w:rsidRPr="00071DA5" w:rsidRDefault="00ED47A2" w:rsidP="00ED47A2">
      <w:pPr>
        <w:ind w:left="284" w:hanging="284"/>
        <w:jc w:val="both"/>
        <w:rPr>
          <w:rFonts w:eastAsia="Times New Roman" w:cstheme="majorBidi"/>
          <w:lang w:bidi="he-IL"/>
        </w:rPr>
      </w:pPr>
      <w:r w:rsidRPr="00071DA5">
        <w:rPr>
          <w:rFonts w:eastAsia="Times New Roman" w:cstheme="majorBidi"/>
          <w:lang w:bidi="he-IL"/>
        </w:rPr>
        <w:t xml:space="preserve">Burn, A. R. 1963. </w:t>
      </w:r>
      <w:r w:rsidRPr="00071DA5">
        <w:rPr>
          <w:rFonts w:eastAsia="Times New Roman" w:cstheme="majorBidi"/>
          <w:i/>
          <w:iCs/>
          <w:lang w:bidi="he-IL"/>
        </w:rPr>
        <w:t>Persia and the Greeks: The Defence of the West, c. 546-478 B.C.</w:t>
      </w:r>
      <w:r w:rsidRPr="00071DA5">
        <w:rPr>
          <w:rFonts w:eastAsia="Times New Roman" w:cstheme="majorBidi"/>
          <w:lang w:bidi="he-IL"/>
        </w:rPr>
        <w:t xml:space="preserve"> New York: St. Martin's Press.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Caspari, M. O. B. 1913. “On the Egyptian Expedition of 459-4 BC.” </w:t>
      </w:r>
      <w:r w:rsidRPr="00071DA5">
        <w:rPr>
          <w:rFonts w:cstheme="majorBidi"/>
          <w:i/>
          <w:iCs/>
        </w:rPr>
        <w:t>The Classical Quarterly</w:t>
      </w:r>
      <w:r w:rsidRPr="00071DA5">
        <w:rPr>
          <w:rFonts w:cstheme="majorBidi"/>
        </w:rPr>
        <w:t xml:space="preserve"> 7 (3): 198–201.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Chauveau, Michel. 2004. “Inarôs, Prince Des Rebelles.” In </w:t>
      </w:r>
      <w:r w:rsidRPr="00071DA5">
        <w:rPr>
          <w:rFonts w:cstheme="majorBidi"/>
          <w:i/>
          <w:iCs/>
        </w:rPr>
        <w:t>Res Severa Verum Gaudium. Festschrift Für Karl-Theodor Zauzich Zum 65. Geburtstag Am 8. Juni 2004</w:t>
      </w:r>
      <w:r w:rsidRPr="00071DA5">
        <w:rPr>
          <w:rFonts w:cstheme="majorBidi"/>
        </w:rPr>
        <w:t>, edited by F. Hoffmann and H. J. Thissen, 39–46. Leuven: Peeters.</w:t>
      </w:r>
    </w:p>
    <w:p w:rsidR="00ED47A2" w:rsidRPr="00071DA5" w:rsidRDefault="00ED47A2" w:rsidP="00ED47A2">
      <w:pPr>
        <w:ind w:left="284" w:hanging="284"/>
        <w:jc w:val="both"/>
        <w:rPr>
          <w:rFonts w:cstheme="majorBidi"/>
        </w:rPr>
      </w:pPr>
      <w:r w:rsidRPr="00071DA5">
        <w:rPr>
          <w:rFonts w:cstheme="majorBidi"/>
        </w:rPr>
        <w:t xml:space="preserve">Green, Peter. 2006. </w:t>
      </w:r>
      <w:r w:rsidRPr="00071DA5">
        <w:rPr>
          <w:rFonts w:cstheme="majorBidi"/>
          <w:i/>
          <w:iCs/>
        </w:rPr>
        <w:t>Diodorus Siculus, books 11-12.37.1: Greek History 480-431 B.C., the Alternative Version</w:t>
      </w:r>
      <w:r w:rsidRPr="00071DA5">
        <w:rPr>
          <w:rFonts w:cstheme="majorBidi"/>
        </w:rPr>
        <w:t>. Austin: University of Texas Press.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Holladay, A. J. 1989. “The Hellenic Disaster in Egypt.” </w:t>
      </w:r>
      <w:r w:rsidRPr="00071DA5">
        <w:rPr>
          <w:rFonts w:cstheme="majorBidi"/>
          <w:i/>
          <w:iCs/>
        </w:rPr>
        <w:t>Journal of Hellenic Studies</w:t>
      </w:r>
      <w:r w:rsidRPr="00071DA5">
        <w:rPr>
          <w:rFonts w:cstheme="majorBidi"/>
        </w:rPr>
        <w:t xml:space="preserve"> 109: 176–82.</w:t>
      </w:r>
    </w:p>
    <w:p w:rsidR="00ED47A2" w:rsidRPr="00071DA5" w:rsidRDefault="00ED47A2" w:rsidP="00ED47A2">
      <w:pPr>
        <w:pStyle w:val="Bibliography"/>
        <w:jc w:val="both"/>
        <w:rPr>
          <w:rFonts w:cstheme="majorBidi"/>
        </w:rPr>
      </w:pPr>
      <w:r w:rsidRPr="00071DA5">
        <w:rPr>
          <w:rFonts w:cstheme="majorBidi"/>
        </w:rPr>
        <w:t xml:space="preserve">König, Friedrich W. 1972. </w:t>
      </w:r>
      <w:r w:rsidRPr="00071DA5">
        <w:rPr>
          <w:rFonts w:cstheme="majorBidi"/>
          <w:i/>
          <w:iCs/>
        </w:rPr>
        <w:t>Die Persika Des Ktesias von Knidos</w:t>
      </w:r>
      <w:r w:rsidRPr="00071DA5">
        <w:rPr>
          <w:rFonts w:cstheme="majorBidi"/>
        </w:rPr>
        <w:t>. Graz: Selbstverlage des Herausgebers.</w:t>
      </w:r>
    </w:p>
    <w:p w:rsidR="00ED47A2" w:rsidRPr="00071DA5" w:rsidRDefault="00ED47A2" w:rsidP="00ED47A2">
      <w:pPr>
        <w:pStyle w:val="Bibliography"/>
        <w:jc w:val="both"/>
        <w:rPr>
          <w:rFonts w:cstheme="majorBidi"/>
        </w:rPr>
      </w:pPr>
      <w:r w:rsidRPr="00071DA5">
        <w:rPr>
          <w:rFonts w:cstheme="majorBidi"/>
        </w:rPr>
        <w:t xml:space="preserve">Lenfant, Dominique. 2004. </w:t>
      </w:r>
      <w:r w:rsidRPr="00071DA5">
        <w:rPr>
          <w:rFonts w:cstheme="majorBidi"/>
          <w:i/>
          <w:iCs/>
        </w:rPr>
        <w:t>Ctésias de Cnide: La Perse, l’Inde, Autres Fragments</w:t>
      </w:r>
      <w:r w:rsidRPr="00071DA5">
        <w:rPr>
          <w:rFonts w:cstheme="majorBidi"/>
        </w:rPr>
        <w:t>. Paris: Les Belles lettres.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Libourel, Jan M. 1971. “The Athenian Disaster in Egypt.” </w:t>
      </w:r>
      <w:r w:rsidRPr="00071DA5">
        <w:rPr>
          <w:rFonts w:cstheme="majorBidi"/>
          <w:i/>
          <w:iCs/>
        </w:rPr>
        <w:t>American Journal of Philology</w:t>
      </w:r>
      <w:r w:rsidRPr="00071DA5">
        <w:rPr>
          <w:rFonts w:cstheme="majorBidi"/>
        </w:rPr>
        <w:t xml:space="preserve"> 92 (4): 605–15.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Peek, Werner. 1939. “Ein Seegefecht Aus Den Perserkriegen.” </w:t>
      </w:r>
      <w:r w:rsidRPr="00071DA5">
        <w:rPr>
          <w:rFonts w:cstheme="majorBidi"/>
          <w:i/>
          <w:iCs/>
        </w:rPr>
        <w:t>Klio-Beiträge Zur Alten Geschichte</w:t>
      </w:r>
      <w:r w:rsidRPr="00071DA5">
        <w:rPr>
          <w:rFonts w:cstheme="majorBidi"/>
        </w:rPr>
        <w:t xml:space="preserve"> 32: 289–306.</w:t>
      </w:r>
    </w:p>
    <w:p w:rsidR="00ED47A2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Robinson, Eric W. 1999. “Thucydidean Sieges, Prosopitis, and the Hellenic Disaster in Egypt.” </w:t>
      </w:r>
      <w:r w:rsidRPr="00071DA5">
        <w:rPr>
          <w:rFonts w:cstheme="majorBidi"/>
          <w:i/>
          <w:iCs/>
        </w:rPr>
        <w:t>Classical Antiquity</w:t>
      </w:r>
      <w:r w:rsidRPr="00071DA5">
        <w:rPr>
          <w:rFonts w:cstheme="majorBidi"/>
        </w:rPr>
        <w:t xml:space="preserve"> 18 (1): 132–52.</w:t>
      </w:r>
    </w:p>
    <w:p w:rsidR="00ED47A2" w:rsidRPr="00071DA5" w:rsidRDefault="00ED47A2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Ruzicka, Stephen. 2012. </w:t>
      </w:r>
      <w:r w:rsidRPr="00071DA5">
        <w:rPr>
          <w:rFonts w:cstheme="majorBidi"/>
          <w:i/>
          <w:iCs/>
        </w:rPr>
        <w:t>Trouble in the West: Egypt and the Persian Empire, 525-332 BC</w:t>
      </w:r>
      <w:r w:rsidRPr="00071DA5">
        <w:rPr>
          <w:rFonts w:cstheme="majorBidi"/>
        </w:rPr>
        <w:t>. Oxford: Oxford University Press.</w:t>
      </w:r>
    </w:p>
    <w:p w:rsidR="00ED47A2" w:rsidRPr="00071DA5" w:rsidRDefault="00ED47A2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Salmon, Pierre. 1965. </w:t>
      </w:r>
      <w:r w:rsidRPr="00071DA5">
        <w:rPr>
          <w:rFonts w:cstheme="majorBidi"/>
          <w:i/>
          <w:iCs/>
        </w:rPr>
        <w:t>La politique égyptienne d’Athènes (VIe et Ve siècles avant J.-C.)</w:t>
      </w:r>
      <w:r w:rsidRPr="00071DA5">
        <w:rPr>
          <w:rFonts w:cstheme="majorBidi"/>
        </w:rPr>
        <w:t>. Bruxelles: Palais des académies.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Scharf, Joachim. 1955. “Die Erste ägyptische Expedition Der Athener: Ein Beitrag Zur Geschichte Der Pentekontaetie.” </w:t>
      </w:r>
      <w:r w:rsidRPr="00071DA5">
        <w:rPr>
          <w:rFonts w:cstheme="majorBidi"/>
          <w:i/>
          <w:iCs/>
        </w:rPr>
        <w:t>Historia: Zeitschrift Fur Alte Geschichte</w:t>
      </w:r>
      <w:r w:rsidRPr="00071DA5">
        <w:rPr>
          <w:rFonts w:cstheme="majorBidi"/>
        </w:rPr>
        <w:t xml:space="preserve"> 3 (3): 308–25.</w:t>
      </w:r>
    </w:p>
    <w:p w:rsidR="00ED47A2" w:rsidRPr="00071DA5" w:rsidRDefault="00ED47A2" w:rsidP="00ED47A2">
      <w:pPr>
        <w:pStyle w:val="Bibliography"/>
        <w:jc w:val="both"/>
        <w:rPr>
          <w:rFonts w:cstheme="majorBidi"/>
        </w:rPr>
      </w:pPr>
      <w:r w:rsidRPr="00071DA5">
        <w:rPr>
          <w:rFonts w:cstheme="majorBidi"/>
        </w:rPr>
        <w:t xml:space="preserve">Stronk, Jan P. 2007. “Ctesias of Cnidus, A Reappraisal.” </w:t>
      </w:r>
      <w:r w:rsidRPr="00071DA5">
        <w:rPr>
          <w:rFonts w:cstheme="majorBidi"/>
          <w:i/>
          <w:iCs/>
        </w:rPr>
        <w:t>Mnemosyne</w:t>
      </w:r>
      <w:r w:rsidRPr="00071DA5">
        <w:rPr>
          <w:rFonts w:cstheme="majorBidi"/>
        </w:rPr>
        <w:t xml:space="preserve"> 60 (1): 25–58.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Wallace, William. 1936. “The Egyptian Expedition and the Chronology of the Decade 460-450 BC.” </w:t>
      </w:r>
      <w:r w:rsidRPr="00071DA5">
        <w:rPr>
          <w:rFonts w:cstheme="majorBidi"/>
          <w:i/>
          <w:iCs/>
        </w:rPr>
        <w:t>Transactions and Proceedings of the American Philological Association</w:t>
      </w:r>
      <w:r w:rsidRPr="00071DA5">
        <w:rPr>
          <w:rFonts w:cstheme="majorBidi"/>
        </w:rPr>
        <w:t xml:space="preserve"> 67: 252–60.</w:t>
      </w:r>
    </w:p>
    <w:p w:rsidR="00F52ED9" w:rsidRPr="00071DA5" w:rsidRDefault="00F52ED9" w:rsidP="00ED47A2">
      <w:pPr>
        <w:pStyle w:val="Bibliography"/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t xml:space="preserve">Westlake, Henry D. 1950. “Thucydides and the Athenian Disaster in Egypt.” </w:t>
      </w:r>
      <w:r w:rsidRPr="00071DA5">
        <w:rPr>
          <w:rFonts w:cstheme="majorBidi"/>
          <w:i/>
          <w:iCs/>
        </w:rPr>
        <w:t>Classical Philology</w:t>
      </w:r>
      <w:r w:rsidRPr="00071DA5">
        <w:rPr>
          <w:rFonts w:cstheme="majorBidi"/>
        </w:rPr>
        <w:t xml:space="preserve"> 45 (4): 209–16.</w:t>
      </w:r>
    </w:p>
    <w:p w:rsidR="00F52ED9" w:rsidRPr="00071DA5" w:rsidRDefault="00F52ED9" w:rsidP="00ED47A2">
      <w:pPr>
        <w:ind w:left="360" w:hanging="360"/>
        <w:jc w:val="both"/>
        <w:rPr>
          <w:rFonts w:cstheme="majorBidi"/>
        </w:rPr>
      </w:pPr>
      <w:r w:rsidRPr="00071DA5">
        <w:rPr>
          <w:rFonts w:cstheme="majorBidi"/>
        </w:rPr>
        <w:fldChar w:fldCharType="end"/>
      </w:r>
    </w:p>
    <w:sectPr w:rsidR="00F52ED9" w:rsidRPr="00071D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C1" w:rsidRDefault="00A97DC1" w:rsidP="00831EBF">
      <w:r>
        <w:separator/>
      </w:r>
    </w:p>
  </w:endnote>
  <w:endnote w:type="continuationSeparator" w:id="0">
    <w:p w:rsidR="00A97DC1" w:rsidRDefault="00A97DC1" w:rsidP="0083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76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53A" w:rsidRDefault="00BB0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D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53A" w:rsidRDefault="00BB0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C1" w:rsidRDefault="00A97DC1" w:rsidP="00831EBF">
      <w:r>
        <w:separator/>
      </w:r>
    </w:p>
  </w:footnote>
  <w:footnote w:type="continuationSeparator" w:id="0">
    <w:p w:rsidR="00A97DC1" w:rsidRDefault="00A97DC1" w:rsidP="0083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10"/>
      <w:gridCol w:w="2250"/>
    </w:tblGrid>
    <w:tr w:rsidR="00831EBF" w:rsidRPr="00831EBF" w:rsidTr="00693A11">
      <w:tc>
        <w:tcPr>
          <w:tcW w:w="7110" w:type="dxa"/>
        </w:tcPr>
        <w:p w:rsidR="00831EBF" w:rsidRPr="00693A11" w:rsidRDefault="00831EBF" w:rsidP="00831EBF">
          <w:pPr>
            <w:pStyle w:val="Header"/>
            <w:rPr>
              <w:rFonts w:asciiTheme="majorBidi" w:hAnsiTheme="majorBidi" w:cstheme="majorBidi"/>
              <w:sz w:val="18"/>
              <w:szCs w:val="18"/>
            </w:rPr>
          </w:pPr>
          <w:r w:rsidRPr="00693A11">
            <w:rPr>
              <w:rFonts w:asciiTheme="majorBidi" w:hAnsiTheme="majorBidi" w:cstheme="majorBidi"/>
              <w:sz w:val="18"/>
              <w:szCs w:val="18"/>
            </w:rPr>
            <w:t>112</w:t>
          </w:r>
          <w:r w:rsidRPr="00693A11">
            <w:rPr>
              <w:rFonts w:asciiTheme="majorBidi" w:hAnsiTheme="majorBidi" w:cstheme="majorBidi"/>
              <w:sz w:val="18"/>
              <w:szCs w:val="18"/>
              <w:vertAlign w:val="superscript"/>
            </w:rPr>
            <w:t>th</w:t>
          </w:r>
          <w:r w:rsidRPr="00693A11">
            <w:rPr>
              <w:rFonts w:asciiTheme="majorBidi" w:hAnsiTheme="majorBidi" w:cstheme="majorBidi"/>
              <w:sz w:val="18"/>
              <w:szCs w:val="18"/>
            </w:rPr>
            <w:t xml:space="preserve"> CAMWS Meeting</w:t>
          </w:r>
        </w:p>
        <w:p w:rsidR="00831EBF" w:rsidRPr="00693A11" w:rsidRDefault="00831EBF" w:rsidP="00831EBF">
          <w:pPr>
            <w:pStyle w:val="Header"/>
            <w:rPr>
              <w:rFonts w:asciiTheme="majorBidi" w:hAnsiTheme="majorBidi" w:cstheme="majorBidi"/>
              <w:sz w:val="18"/>
              <w:szCs w:val="18"/>
            </w:rPr>
          </w:pPr>
          <w:r w:rsidRPr="00693A11">
            <w:rPr>
              <w:rFonts w:asciiTheme="majorBidi" w:hAnsiTheme="majorBidi" w:cstheme="majorBidi"/>
              <w:sz w:val="18"/>
              <w:szCs w:val="18"/>
            </w:rPr>
            <w:t>Williamsburg, Virginia</w:t>
          </w:r>
        </w:p>
        <w:p w:rsidR="00831EBF" w:rsidRPr="00831EBF" w:rsidRDefault="00831EBF" w:rsidP="00831EBF">
          <w:pPr>
            <w:pStyle w:val="Header"/>
            <w:rPr>
              <w:rFonts w:asciiTheme="majorBidi" w:hAnsiTheme="majorBidi" w:cstheme="majorBidi"/>
              <w:sz w:val="20"/>
              <w:szCs w:val="20"/>
            </w:rPr>
          </w:pPr>
          <w:r w:rsidRPr="00693A11">
            <w:rPr>
              <w:rFonts w:asciiTheme="majorBidi" w:hAnsiTheme="majorBidi" w:cstheme="majorBidi"/>
              <w:sz w:val="18"/>
              <w:szCs w:val="18"/>
            </w:rPr>
            <w:t>March 18, 2016</w:t>
          </w:r>
        </w:p>
      </w:tc>
      <w:tc>
        <w:tcPr>
          <w:tcW w:w="2250" w:type="dxa"/>
        </w:tcPr>
        <w:p w:rsidR="00831EBF" w:rsidRPr="00693A11" w:rsidRDefault="00831EBF" w:rsidP="00831EBF">
          <w:pPr>
            <w:pStyle w:val="Header"/>
            <w:rPr>
              <w:rFonts w:asciiTheme="majorBidi" w:hAnsiTheme="majorBidi" w:cstheme="majorBidi"/>
              <w:sz w:val="18"/>
              <w:szCs w:val="18"/>
            </w:rPr>
          </w:pPr>
          <w:r w:rsidRPr="00693A11">
            <w:rPr>
              <w:rFonts w:asciiTheme="majorBidi" w:hAnsiTheme="majorBidi" w:cstheme="majorBidi"/>
              <w:sz w:val="18"/>
              <w:szCs w:val="18"/>
            </w:rPr>
            <w:t>Eyal Meyer</w:t>
          </w:r>
        </w:p>
        <w:p w:rsidR="00831EBF" w:rsidRPr="00693A11" w:rsidRDefault="00A97DC1" w:rsidP="00831EBF">
          <w:pPr>
            <w:pStyle w:val="Header"/>
            <w:rPr>
              <w:rFonts w:asciiTheme="majorBidi" w:hAnsiTheme="majorBidi" w:cstheme="majorBidi"/>
              <w:sz w:val="18"/>
              <w:szCs w:val="18"/>
            </w:rPr>
          </w:pPr>
          <w:hyperlink r:id="rId1" w:history="1">
            <w:r w:rsidR="00831EBF" w:rsidRPr="00693A11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eyalm@sas.upenn.edu</w:t>
            </w:r>
          </w:hyperlink>
        </w:p>
        <w:p w:rsidR="00831EBF" w:rsidRPr="00831EBF" w:rsidRDefault="00831EBF" w:rsidP="00831EBF">
          <w:pPr>
            <w:pStyle w:val="Header"/>
            <w:rPr>
              <w:rFonts w:asciiTheme="majorBidi" w:hAnsiTheme="majorBidi" w:cstheme="majorBidi"/>
              <w:sz w:val="20"/>
              <w:szCs w:val="20"/>
            </w:rPr>
          </w:pPr>
          <w:r w:rsidRPr="00693A11">
            <w:rPr>
              <w:rFonts w:asciiTheme="majorBidi" w:hAnsiTheme="majorBidi" w:cstheme="majorBidi"/>
              <w:sz w:val="18"/>
              <w:szCs w:val="18"/>
            </w:rPr>
            <w:t>University of Pennsylvania</w:t>
          </w:r>
        </w:p>
      </w:tc>
    </w:tr>
  </w:tbl>
  <w:p w:rsidR="00831EBF" w:rsidRPr="00831EBF" w:rsidRDefault="00831EBF">
    <w:pPr>
      <w:pStyle w:val="Head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0"/>
    <w:rsid w:val="00037F36"/>
    <w:rsid w:val="00071DA5"/>
    <w:rsid w:val="0008427F"/>
    <w:rsid w:val="0011369F"/>
    <w:rsid w:val="00137AFE"/>
    <w:rsid w:val="00140FAA"/>
    <w:rsid w:val="00155E3D"/>
    <w:rsid w:val="001B413D"/>
    <w:rsid w:val="001C6A8C"/>
    <w:rsid w:val="001D45D6"/>
    <w:rsid w:val="00266A02"/>
    <w:rsid w:val="00287387"/>
    <w:rsid w:val="002941B5"/>
    <w:rsid w:val="002968AD"/>
    <w:rsid w:val="002A6355"/>
    <w:rsid w:val="002B0FE7"/>
    <w:rsid w:val="002E0260"/>
    <w:rsid w:val="002F1F1B"/>
    <w:rsid w:val="00351F39"/>
    <w:rsid w:val="0035334B"/>
    <w:rsid w:val="00371C3A"/>
    <w:rsid w:val="00452D85"/>
    <w:rsid w:val="004728E1"/>
    <w:rsid w:val="00494A50"/>
    <w:rsid w:val="00544FD4"/>
    <w:rsid w:val="005579EA"/>
    <w:rsid w:val="00581023"/>
    <w:rsid w:val="00581D57"/>
    <w:rsid w:val="00583211"/>
    <w:rsid w:val="00631D23"/>
    <w:rsid w:val="00687C25"/>
    <w:rsid w:val="00693A11"/>
    <w:rsid w:val="006B1829"/>
    <w:rsid w:val="006D1418"/>
    <w:rsid w:val="007129D1"/>
    <w:rsid w:val="00713602"/>
    <w:rsid w:val="007506AF"/>
    <w:rsid w:val="007E1B2F"/>
    <w:rsid w:val="008075D6"/>
    <w:rsid w:val="00831EBF"/>
    <w:rsid w:val="00833EC6"/>
    <w:rsid w:val="00863AC8"/>
    <w:rsid w:val="008822D5"/>
    <w:rsid w:val="008E12ED"/>
    <w:rsid w:val="009E7E20"/>
    <w:rsid w:val="00A412B1"/>
    <w:rsid w:val="00A750DA"/>
    <w:rsid w:val="00A8182F"/>
    <w:rsid w:val="00A9721D"/>
    <w:rsid w:val="00A97DC1"/>
    <w:rsid w:val="00AA16F0"/>
    <w:rsid w:val="00AA7983"/>
    <w:rsid w:val="00BA43F0"/>
    <w:rsid w:val="00BB053A"/>
    <w:rsid w:val="00BE1010"/>
    <w:rsid w:val="00C558B8"/>
    <w:rsid w:val="00C56028"/>
    <w:rsid w:val="00C77ECA"/>
    <w:rsid w:val="00D04AFD"/>
    <w:rsid w:val="00D616FA"/>
    <w:rsid w:val="00DA0AA8"/>
    <w:rsid w:val="00DC270F"/>
    <w:rsid w:val="00DE287D"/>
    <w:rsid w:val="00E408FA"/>
    <w:rsid w:val="00EA1F63"/>
    <w:rsid w:val="00ED47A2"/>
    <w:rsid w:val="00EE2E1B"/>
    <w:rsid w:val="00F52ED9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1B8BC-30DB-4593-9D0A-523BBFD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3D"/>
    <w:rPr>
      <w:rFonts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41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41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2ED9"/>
    <w:pPr>
      <w:keepNext/>
      <w:keepLines/>
      <w:spacing w:before="120" w:after="60"/>
      <w:jc w:val="both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418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418"/>
    <w:pPr>
      <w:keepNext/>
      <w:keepLines/>
      <w:spacing w:before="6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418"/>
    <w:rPr>
      <w:rFonts w:eastAsiaTheme="majorEastAsia" w:cstheme="majorBidi"/>
      <w:b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2ED9"/>
    <w:rPr>
      <w:rFonts w:eastAsiaTheme="majorEastAsia" w:cstheme="majorBidi"/>
      <w:b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D1418"/>
    <w:rPr>
      <w:rFonts w:eastAsiaTheme="majorEastAsia" w:cstheme="majorBidi"/>
      <w:b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D1418"/>
    <w:rPr>
      <w:rFonts w:eastAsiaTheme="majorEastAsia" w:cstheme="majorBidi"/>
      <w:b/>
      <w:sz w:val="28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D1418"/>
    <w:rPr>
      <w:rFonts w:eastAsiaTheme="majorEastAsia" w:cstheme="majorBidi"/>
      <w:b/>
      <w:i/>
      <w:iCs/>
      <w:szCs w:val="24"/>
      <w:lang w:bidi="en-US"/>
    </w:rPr>
  </w:style>
  <w:style w:type="character" w:customStyle="1" w:styleId="apple-converted-space">
    <w:name w:val="apple-converted-space"/>
    <w:basedOn w:val="DefaultParagraphFont"/>
    <w:rsid w:val="006D1418"/>
  </w:style>
  <w:style w:type="paragraph" w:styleId="TOC1">
    <w:name w:val="toc 1"/>
    <w:basedOn w:val="Normal"/>
    <w:next w:val="Normal"/>
    <w:autoRedefine/>
    <w:uiPriority w:val="39"/>
    <w:unhideWhenUsed/>
    <w:rsid w:val="006D141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D1418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14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418"/>
    <w:rPr>
      <w:rFonts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14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4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18"/>
    <w:rPr>
      <w:rFonts w:cs="Times New Roman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1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418"/>
    <w:rPr>
      <w:rFonts w:cs="Times New Roman"/>
      <w:szCs w:val="24"/>
      <w:lang w:bidi="en-US"/>
    </w:rPr>
  </w:style>
  <w:style w:type="table" w:styleId="TableGrid">
    <w:name w:val="Table Grid"/>
    <w:basedOn w:val="TableNormal"/>
    <w:uiPriority w:val="59"/>
    <w:rsid w:val="00C5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5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yalm@sa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The Inaros Revolt: Redeeming Ctesias</vt:lpstr>
      <vt:lpstr>        A. The General of the First Persian Expedition to Egypt </vt:lpstr>
      <vt:lpstr>        B. Naval Engagement in the Nile </vt:lpstr>
      <vt:lpstr>        C. The First Round of Hostilities </vt:lpstr>
      <vt:lpstr>        Select Bibliography </vt:lpstr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Meyer</dc:creator>
  <cp:keywords/>
  <dc:description/>
  <cp:lastModifiedBy>Eyal Meyer</cp:lastModifiedBy>
  <cp:revision>43</cp:revision>
  <dcterms:created xsi:type="dcterms:W3CDTF">2016-03-13T15:49:00Z</dcterms:created>
  <dcterms:modified xsi:type="dcterms:W3CDTF">2016-03-16T18:10:00Z</dcterms:modified>
</cp:coreProperties>
</file>