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6B5A" w14:textId="4794ABD7" w:rsidR="009B0901" w:rsidRDefault="009B0901" w:rsidP="009B0901">
      <w:pPr>
        <w:jc w:val="center"/>
        <w:rPr>
          <w:b/>
        </w:rPr>
      </w:pPr>
      <w:r w:rsidRPr="00AA2628">
        <w:rPr>
          <w:b/>
          <w:i/>
        </w:rPr>
        <w:t>Ektos sumphorās</w:t>
      </w:r>
      <w:r w:rsidR="00827F3E">
        <w:rPr>
          <w:b/>
          <w:i/>
        </w:rPr>
        <w:t xml:space="preserve"> (</w:t>
      </w:r>
      <w:r w:rsidR="00827F3E" w:rsidRPr="00827F3E">
        <w:rPr>
          <w:b/>
        </w:rPr>
        <w:t>E.</w:t>
      </w:r>
      <w:r w:rsidR="00827F3E" w:rsidRPr="00827F3E">
        <w:rPr>
          <w:b/>
          <w:i/>
        </w:rPr>
        <w:t xml:space="preserve"> HF</w:t>
      </w:r>
      <w:r w:rsidR="00827F3E">
        <w:rPr>
          <w:b/>
          <w:i/>
        </w:rPr>
        <w:t xml:space="preserve"> </w:t>
      </w:r>
      <w:r w:rsidR="00827F3E" w:rsidRPr="00827F3E">
        <w:rPr>
          <w:b/>
        </w:rPr>
        <w:t>1249</w:t>
      </w:r>
      <w:r w:rsidR="00827F3E">
        <w:rPr>
          <w:b/>
          <w:i/>
        </w:rPr>
        <w:t>)</w:t>
      </w:r>
      <w:r w:rsidRPr="00AA2628">
        <w:rPr>
          <w:b/>
        </w:rPr>
        <w:t>: Tragic Athens</w:t>
      </w:r>
    </w:p>
    <w:p w14:paraId="20E61983" w14:textId="0EB73C82" w:rsidR="009B0901" w:rsidRDefault="009B0901" w:rsidP="009B0901">
      <w:pPr>
        <w:jc w:val="center"/>
      </w:pPr>
      <w:r>
        <w:rPr>
          <w:b/>
        </w:rPr>
        <w:t>Sophie Mills, UNC Asheville (</w:t>
      </w:r>
      <w:hyperlink r:id="rId6" w:history="1">
        <w:r w:rsidRPr="008560CB">
          <w:rPr>
            <w:rStyle w:val="Hyperlink"/>
            <w:b/>
          </w:rPr>
          <w:t>smills@unca.edu</w:t>
        </w:r>
      </w:hyperlink>
      <w:r>
        <w:rPr>
          <w:b/>
        </w:rPr>
        <w:t>)</w:t>
      </w:r>
      <w:r w:rsidR="00C42C74">
        <w:rPr>
          <w:b/>
        </w:rPr>
        <w:t>, 4/7/17.</w:t>
      </w:r>
    </w:p>
    <w:p w14:paraId="23730756" w14:textId="77777777" w:rsidR="007849FA" w:rsidRPr="00355A78" w:rsidRDefault="007849FA" w:rsidP="007849FA">
      <w:pPr>
        <w:rPr>
          <w:rFonts w:cs="Times"/>
        </w:rPr>
      </w:pPr>
    </w:p>
    <w:p w14:paraId="0EED2372" w14:textId="77777777" w:rsidR="009B0901" w:rsidRDefault="007849FA" w:rsidP="009B0901">
      <w:pPr>
        <w:pStyle w:val="ListParagraph"/>
        <w:numPr>
          <w:ilvl w:val="0"/>
          <w:numId w:val="1"/>
        </w:numPr>
      </w:pPr>
      <w:r>
        <w:t xml:space="preserve">United 93 and its effects: </w:t>
      </w:r>
      <w:r w:rsidRPr="00355A78">
        <w:rPr>
          <w:rFonts w:cs="Times"/>
        </w:rPr>
        <w:t xml:space="preserve">Garofoli, J.  (2006). ‘Film Touches Deep Nerve for Families of Flight 93 Victims’ </w:t>
      </w:r>
      <w:hyperlink r:id="rId7" w:history="1">
        <w:r w:rsidRPr="00355A78">
          <w:rPr>
            <w:rStyle w:val="Hyperlink"/>
          </w:rPr>
          <w:t>http://www.sfgate.com/politics/joegarofoli/article/Film-touches-deep-nerve-for-families-of-Flight-93-2499479.php</w:t>
        </w:r>
      </w:hyperlink>
    </w:p>
    <w:p w14:paraId="3A757E8B" w14:textId="77777777" w:rsidR="009B0901" w:rsidRDefault="009B0901" w:rsidP="009B0901">
      <w:pPr>
        <w:pStyle w:val="ListParagraph"/>
        <w:numPr>
          <w:ilvl w:val="0"/>
          <w:numId w:val="1"/>
        </w:numPr>
      </w:pPr>
      <w:r>
        <w:t>Phrynichus and the capture of Miletus: Hdt. 6.21.2.</w:t>
      </w:r>
    </w:p>
    <w:p w14:paraId="488461D4" w14:textId="77777777" w:rsidR="007849FA" w:rsidRDefault="009B0901" w:rsidP="007849FA">
      <w:pPr>
        <w:pStyle w:val="ListParagraph"/>
        <w:numPr>
          <w:ilvl w:val="0"/>
          <w:numId w:val="1"/>
        </w:numPr>
      </w:pPr>
      <w:r>
        <w:t xml:space="preserve">The anachronistic past: E. </w:t>
      </w:r>
      <w:r w:rsidRPr="008D18CC">
        <w:rPr>
          <w:i/>
        </w:rPr>
        <w:t>Supp.</w:t>
      </w:r>
      <w:r>
        <w:t xml:space="preserve"> 429-55; </w:t>
      </w:r>
      <w:r w:rsidRPr="008D18CC">
        <w:rPr>
          <w:i/>
        </w:rPr>
        <w:t>Tro.</w:t>
      </w:r>
      <w:r>
        <w:t xml:space="preserve"> 886.</w:t>
      </w:r>
    </w:p>
    <w:p w14:paraId="19A9D8DC" w14:textId="46B7FE0E" w:rsidR="009B0901" w:rsidRDefault="009B0901" w:rsidP="007849FA">
      <w:pPr>
        <w:pStyle w:val="ListParagraph"/>
        <w:numPr>
          <w:ilvl w:val="0"/>
          <w:numId w:val="1"/>
        </w:numPr>
      </w:pPr>
      <w:r>
        <w:t>‘left hanging on the mythical, other-worldly pegs provided by the play’s structure.’</w:t>
      </w:r>
      <w:r w:rsidR="007849FA">
        <w:t xml:space="preserve">: Kevin Lee, </w:t>
      </w:r>
      <w:r w:rsidR="007849FA" w:rsidRPr="00355A78">
        <w:t xml:space="preserve">‘The Dionysia: instrument of control or platform for critique?’ in D. Papenfuss D. and V.M. Strocker (eds.), </w:t>
      </w:r>
      <w:r w:rsidR="007849FA" w:rsidRPr="007849FA">
        <w:rPr>
          <w:rFonts w:eastAsia="Arial Unicode MS" w:cs="Arial Unicode MS"/>
          <w:i/>
        </w:rPr>
        <w:t>Gab es das Griechische Wunder? : Griechenland zwischen dem Ende des 6. und der Mitte des 5. Jahrhunderts v. Chr. : Tagungsbeiträge des 16. Fachsymposiums der Alexander-von-Humboldt-Stiftung, veranstaltet vom 5. bis 9. April 1999 in Freiburg im Breisgau</w:t>
      </w:r>
      <w:r w:rsidR="007849FA" w:rsidRPr="007849FA">
        <w:rPr>
          <w:rFonts w:eastAsia="Arial Unicode MS" w:cs="Arial Unicode MS"/>
        </w:rPr>
        <w:t xml:space="preserve"> Mainz: Ph. von Sabern</w:t>
      </w:r>
      <w:r w:rsidR="003E1B54">
        <w:rPr>
          <w:rFonts w:eastAsia="Arial Unicode MS" w:cs="Arial Unicode MS"/>
        </w:rPr>
        <w:t>, 1999, p. 82.</w:t>
      </w:r>
    </w:p>
    <w:p w14:paraId="23F13768" w14:textId="77777777" w:rsidR="009B0901" w:rsidRDefault="009B0901" w:rsidP="009B0901">
      <w:pPr>
        <w:pStyle w:val="ListParagraph"/>
        <w:numPr>
          <w:ilvl w:val="0"/>
          <w:numId w:val="1"/>
        </w:numPr>
      </w:pPr>
      <w:r>
        <w:t xml:space="preserve">Topoi of the idealised Athens: E. </w:t>
      </w:r>
      <w:r w:rsidRPr="00C42C74">
        <w:rPr>
          <w:i/>
        </w:rPr>
        <w:t>Supp.</w:t>
      </w:r>
      <w:r>
        <w:t xml:space="preserve"> 187-91, 321-25, 340-1, 378-80, 404-5, 438-55.</w:t>
      </w:r>
    </w:p>
    <w:p w14:paraId="77E74F32" w14:textId="77777777" w:rsidR="009B0901" w:rsidRPr="009B0901" w:rsidRDefault="009B0901" w:rsidP="009B0901">
      <w:pPr>
        <w:pStyle w:val="ListParagraph"/>
        <w:numPr>
          <w:ilvl w:val="0"/>
          <w:numId w:val="1"/>
        </w:numPr>
      </w:pPr>
      <w:r>
        <w:t xml:space="preserve">Five extant “Athenian” plays: Aeschylus’ </w:t>
      </w:r>
      <w:r w:rsidRPr="009D17BF">
        <w:rPr>
          <w:i/>
        </w:rPr>
        <w:t>Eumenides</w:t>
      </w:r>
      <w:r>
        <w:t xml:space="preserve">, Euripides’ </w:t>
      </w:r>
      <w:r w:rsidRPr="009D17BF">
        <w:rPr>
          <w:i/>
        </w:rPr>
        <w:t xml:space="preserve">Heraclidae, Suppliants </w:t>
      </w:r>
      <w:r w:rsidRPr="009D17BF">
        <w:t>and</w:t>
      </w:r>
      <w:r w:rsidRPr="009D17BF">
        <w:rPr>
          <w:i/>
        </w:rPr>
        <w:t xml:space="preserve"> Heracles</w:t>
      </w:r>
      <w:r>
        <w:t xml:space="preserve">, and Sophocles’ </w:t>
      </w:r>
      <w:r w:rsidRPr="009D17BF">
        <w:rPr>
          <w:i/>
        </w:rPr>
        <w:t>Oedipus at Colonus</w:t>
      </w:r>
      <w:r>
        <w:rPr>
          <w:i/>
        </w:rPr>
        <w:t>.</w:t>
      </w:r>
    </w:p>
    <w:p w14:paraId="7FD616C3" w14:textId="77777777" w:rsidR="009B0901" w:rsidRDefault="009B0901" w:rsidP="009B0901">
      <w:pPr>
        <w:pStyle w:val="ListParagraph"/>
        <w:numPr>
          <w:ilvl w:val="0"/>
          <w:numId w:val="1"/>
        </w:numPr>
      </w:pPr>
      <w:r w:rsidRPr="009B0901">
        <w:t xml:space="preserve">Demophon offering help: E. </w:t>
      </w:r>
      <w:r w:rsidRPr="00C42C74">
        <w:rPr>
          <w:i/>
        </w:rPr>
        <w:t>Hcld.</w:t>
      </w:r>
      <w:r w:rsidRPr="009B0901">
        <w:t xml:space="preserve"> 236-49.</w:t>
      </w:r>
    </w:p>
    <w:p w14:paraId="533442BB" w14:textId="58158332" w:rsidR="009B0901" w:rsidRDefault="009B0901" w:rsidP="009B0901">
      <w:pPr>
        <w:pStyle w:val="ListParagraph"/>
        <w:numPr>
          <w:ilvl w:val="0"/>
          <w:numId w:val="1"/>
        </w:numPr>
      </w:pPr>
      <w:r>
        <w:t xml:space="preserve">Encomiastic language used of Athens: </w:t>
      </w:r>
      <w:r w:rsidRPr="004B1B4C">
        <w:rPr>
          <w:i/>
        </w:rPr>
        <w:t>Hcld.</w:t>
      </w:r>
      <w:r>
        <w:t xml:space="preserve"> 38, 101-8, 113, 129, 191-198, 206, 286-7, 309-25, 329-32, 362-70, 176-8; 147-52; cf. </w:t>
      </w:r>
      <w:r w:rsidR="00C42C74">
        <w:t>E</w:t>
      </w:r>
      <w:r w:rsidRPr="009865C5">
        <w:t xml:space="preserve">. </w:t>
      </w:r>
      <w:r w:rsidRPr="009865C5">
        <w:rPr>
          <w:i/>
        </w:rPr>
        <w:t>Supp</w:t>
      </w:r>
      <w:r w:rsidRPr="009865C5">
        <w:t>. 321, 577</w:t>
      </w:r>
    </w:p>
    <w:p w14:paraId="16F0DE92" w14:textId="77777777" w:rsidR="009B0901" w:rsidRPr="009B0901" w:rsidRDefault="009B0901" w:rsidP="009B0901">
      <w:pPr>
        <w:pStyle w:val="ListParagraph"/>
        <w:numPr>
          <w:ilvl w:val="0"/>
          <w:numId w:val="1"/>
        </w:numPr>
      </w:pPr>
      <w:r>
        <w:t xml:space="preserve">Ar. Clouds 587-9: </w:t>
      </w:r>
      <w:hyperlink r:id="rId8" w:history="1">
        <w:r w:rsidRPr="009B0901">
          <w:rPr>
            <w:rFonts w:ascii="Palatino Linotype" w:hAnsi="Palatino Linotype" w:cs="Palatino Linotype"/>
          </w:rPr>
          <w:t>φασὶ</w:t>
        </w:r>
      </w:hyperlink>
      <w:r w:rsidRPr="009B0901">
        <w:rPr>
          <w:rFonts w:ascii="Palatino Linotype" w:hAnsi="Palatino Linotype" w:cs="Palatino Linotype"/>
        </w:rPr>
        <w:t xml:space="preserve"> </w:t>
      </w:r>
      <w:hyperlink r:id="rId9" w:history="1">
        <w:r w:rsidRPr="009B0901">
          <w:rPr>
            <w:rFonts w:ascii="Palatino Linotype" w:hAnsi="Palatino Linotype" w:cs="Palatino Linotype"/>
          </w:rPr>
          <w:t>γὰρ</w:t>
        </w:r>
      </w:hyperlink>
      <w:r w:rsidRPr="009B0901">
        <w:rPr>
          <w:rFonts w:ascii="Palatino Linotype" w:hAnsi="Palatino Linotype" w:cs="Palatino Linotype"/>
        </w:rPr>
        <w:t xml:space="preserve"> </w:t>
      </w:r>
      <w:hyperlink r:id="rId10" w:history="1">
        <w:r w:rsidRPr="009B0901">
          <w:rPr>
            <w:rFonts w:ascii="Palatino Linotype" w:hAnsi="Palatino Linotype" w:cs="Palatino Linotype"/>
          </w:rPr>
          <w:t>δυσβουλίαν</w:t>
        </w:r>
      </w:hyperlink>
      <w:r w:rsidRPr="009B0901">
        <w:rPr>
          <w:rFonts w:ascii="Palatino Linotype" w:hAnsi="Palatino Linotype" w:cs="Palatino Linotype"/>
        </w:rPr>
        <w:t xml:space="preserve"> </w:t>
      </w:r>
    </w:p>
    <w:p w14:paraId="31974A53" w14:textId="77777777" w:rsidR="009B0901" w:rsidRPr="009B0901" w:rsidRDefault="003E1B54" w:rsidP="009B0901">
      <w:pPr>
        <w:widowControl w:val="0"/>
        <w:autoSpaceDE w:val="0"/>
        <w:autoSpaceDN w:val="0"/>
        <w:adjustRightInd w:val="0"/>
        <w:ind w:firstLine="360"/>
        <w:rPr>
          <w:rFonts w:ascii="Palatino Linotype" w:hAnsi="Palatino Linotype" w:cs="Palatino Linotype"/>
        </w:rPr>
      </w:pPr>
      <w:hyperlink r:id="rId11" w:history="1">
        <w:r w:rsidR="009B0901" w:rsidRPr="009B0901">
          <w:rPr>
            <w:rFonts w:ascii="Palatino Linotype" w:hAnsi="Palatino Linotype" w:cs="Palatino Linotype"/>
          </w:rPr>
          <w:t>τῇδε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  <w:hyperlink r:id="rId12" w:history="1">
        <w:r w:rsidR="009B0901" w:rsidRPr="009B0901">
          <w:rPr>
            <w:rFonts w:ascii="Palatino Linotype" w:hAnsi="Palatino Linotype" w:cs="Palatino Linotype"/>
          </w:rPr>
          <w:t>τῇ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  <w:hyperlink r:id="rId13" w:history="1">
        <w:r w:rsidR="009B0901" w:rsidRPr="009B0901">
          <w:rPr>
            <w:rFonts w:ascii="Palatino Linotype" w:hAnsi="Palatino Linotype" w:cs="Palatino Linotype"/>
          </w:rPr>
          <w:t>πόλει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  <w:hyperlink r:id="rId14" w:history="1">
        <w:r w:rsidR="009B0901" w:rsidRPr="009B0901">
          <w:rPr>
            <w:rFonts w:ascii="Palatino Linotype" w:hAnsi="Palatino Linotype" w:cs="Palatino Linotype"/>
          </w:rPr>
          <w:t>προσεῖναι</w:t>
        </w:r>
      </w:hyperlink>
      <w:r w:rsidR="009B0901" w:rsidRPr="009B0901">
        <w:rPr>
          <w:rFonts w:ascii="Palatino Linotype" w:hAnsi="Palatino Linotype" w:cs="Palatino Linotype"/>
        </w:rPr>
        <w:t xml:space="preserve">, </w:t>
      </w:r>
      <w:hyperlink r:id="rId15" w:history="1">
        <w:r w:rsidR="009B0901" w:rsidRPr="009B0901">
          <w:rPr>
            <w:rFonts w:ascii="Palatino Linotype" w:hAnsi="Palatino Linotype" w:cs="Palatino Linotype"/>
          </w:rPr>
          <w:t>ταῦτα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  <w:hyperlink r:id="rId16" w:history="1">
        <w:r w:rsidR="009B0901" w:rsidRPr="009B0901">
          <w:rPr>
            <w:rFonts w:ascii="Palatino Linotype" w:hAnsi="Palatino Linotype" w:cs="Palatino Linotype"/>
          </w:rPr>
          <w:t>μέντοι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  <w:hyperlink r:id="rId17" w:history="1">
        <w:r w:rsidR="009B0901" w:rsidRPr="009B0901">
          <w:rPr>
            <w:rFonts w:ascii="Palatino Linotype" w:hAnsi="Palatino Linotype" w:cs="Palatino Linotype"/>
          </w:rPr>
          <w:t>τοὺς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  <w:hyperlink r:id="rId18" w:history="1">
        <w:r w:rsidR="009B0901" w:rsidRPr="009B0901">
          <w:rPr>
            <w:rFonts w:ascii="Palatino Linotype" w:hAnsi="Palatino Linotype" w:cs="Palatino Linotype"/>
          </w:rPr>
          <w:t>θεοὺς</w:t>
        </w:r>
      </w:hyperlink>
      <w:r w:rsidR="009B0901" w:rsidRPr="009B0901">
        <w:rPr>
          <w:rFonts w:ascii="Palatino Linotype" w:hAnsi="Palatino Linotype" w:cs="Palatino Linotype"/>
        </w:rPr>
        <w:t xml:space="preserve"> </w:t>
      </w:r>
    </w:p>
    <w:p w14:paraId="140B3057" w14:textId="3142EB0F" w:rsidR="009B0901" w:rsidRDefault="003E1B54" w:rsidP="007849FA">
      <w:pPr>
        <w:ind w:left="360"/>
        <w:rPr>
          <w:rFonts w:ascii="Palatino Linotype" w:hAnsi="Palatino Linotype" w:cs="Palatino Linotype"/>
        </w:rPr>
      </w:pPr>
      <w:hyperlink r:id="rId19" w:history="1">
        <w:r w:rsidR="009B0901" w:rsidRPr="007849FA">
          <w:rPr>
            <w:rFonts w:ascii="Palatino Linotype" w:hAnsi="Palatino Linotype" w:cs="Palatino Linotype"/>
          </w:rPr>
          <w:t>ἅττ᾽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0" w:history="1">
        <w:r w:rsidR="009B0901" w:rsidRPr="007849FA">
          <w:rPr>
            <w:rFonts w:ascii="Palatino Linotype" w:hAnsi="Palatino Linotype" w:cs="Palatino Linotype"/>
          </w:rPr>
          <w:t>ἂν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1" w:history="1">
        <w:r w:rsidR="009B0901" w:rsidRPr="007849FA">
          <w:rPr>
            <w:rFonts w:ascii="Palatino Linotype" w:hAnsi="Palatino Linotype" w:cs="Palatino Linotype"/>
          </w:rPr>
          <w:t>ὑμεῖς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2" w:history="1">
        <w:r w:rsidR="009B0901" w:rsidRPr="007849FA">
          <w:rPr>
            <w:rFonts w:ascii="Palatino Linotype" w:hAnsi="Palatino Linotype" w:cs="Palatino Linotype"/>
          </w:rPr>
          <w:t>ἐξαμάρτητ᾽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3" w:history="1">
        <w:r w:rsidR="009B0901" w:rsidRPr="007849FA">
          <w:rPr>
            <w:rFonts w:ascii="Palatino Linotype" w:hAnsi="Palatino Linotype" w:cs="Palatino Linotype"/>
          </w:rPr>
          <w:t>ἐπὶ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4" w:history="1">
        <w:r w:rsidR="009B0901" w:rsidRPr="007849FA">
          <w:rPr>
            <w:rFonts w:ascii="Palatino Linotype" w:hAnsi="Palatino Linotype" w:cs="Palatino Linotype"/>
          </w:rPr>
          <w:t>τὸ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5" w:history="1">
        <w:r w:rsidR="009B0901" w:rsidRPr="007849FA">
          <w:rPr>
            <w:rFonts w:ascii="Palatino Linotype" w:hAnsi="Palatino Linotype" w:cs="Palatino Linotype"/>
          </w:rPr>
          <w:t>βέλτιον</w:t>
        </w:r>
      </w:hyperlink>
      <w:r w:rsidR="009B0901" w:rsidRPr="007849FA">
        <w:rPr>
          <w:rFonts w:ascii="Palatino Linotype" w:hAnsi="Palatino Linotype" w:cs="Palatino Linotype"/>
        </w:rPr>
        <w:t xml:space="preserve"> </w:t>
      </w:r>
      <w:hyperlink r:id="rId26" w:history="1">
        <w:r w:rsidR="009B0901" w:rsidRPr="007849FA">
          <w:rPr>
            <w:rFonts w:ascii="Palatino Linotype" w:hAnsi="Palatino Linotype" w:cs="Palatino Linotype"/>
          </w:rPr>
          <w:t>τρέπειν</w:t>
        </w:r>
      </w:hyperlink>
      <w:r w:rsidR="009B0901" w:rsidRPr="007849FA">
        <w:rPr>
          <w:rFonts w:ascii="Palatino Linotype" w:hAnsi="Palatino Linotype" w:cs="Palatino Linotype"/>
        </w:rPr>
        <w:t>. (“for they say that bad judgement always attends this city but the gods turn to the better whatever mistakes you make”</w:t>
      </w:r>
      <w:r w:rsidR="00C22EE1">
        <w:rPr>
          <w:rFonts w:ascii="Palatino Linotype" w:hAnsi="Palatino Linotype" w:cs="Palatino Linotype"/>
        </w:rPr>
        <w:t>)</w:t>
      </w:r>
    </w:p>
    <w:p w14:paraId="0C4A3973" w14:textId="77777777" w:rsidR="007849FA" w:rsidRDefault="007849FA" w:rsidP="007849FA">
      <w:pPr>
        <w:ind w:left="360"/>
        <w:rPr>
          <w:rFonts w:ascii="Palatino Linotype" w:hAnsi="Palatino Linotype" w:cs="Palatino Linotype"/>
        </w:rPr>
      </w:pPr>
    </w:p>
    <w:p w14:paraId="5E67B352" w14:textId="62A29385" w:rsidR="007849FA" w:rsidRPr="00784233" w:rsidRDefault="00784233" w:rsidP="00784233">
      <w:pPr>
        <w:rPr>
          <w:b/>
        </w:rPr>
      </w:pPr>
      <w:r>
        <w:rPr>
          <w:rFonts w:cs="Palatino Linotype"/>
          <w:b/>
        </w:rPr>
        <w:t>Some bibliography</w:t>
      </w:r>
      <w:r w:rsidR="007849FA" w:rsidRPr="00784233">
        <w:rPr>
          <w:rFonts w:cs="Palatino Linotype"/>
          <w:b/>
        </w:rPr>
        <w:t xml:space="preserve"> </w:t>
      </w:r>
    </w:p>
    <w:p w14:paraId="4B573677" w14:textId="77777777" w:rsidR="007849FA" w:rsidRPr="00355A78" w:rsidRDefault="007849FA" w:rsidP="007849FA">
      <w:r w:rsidRPr="00355A78">
        <w:t xml:space="preserve">Cartledge, P. (1997), ‘’Deep Plays’: Theatre as Process in Greek Civic Life” in P. Easterling (ed.) </w:t>
      </w:r>
      <w:r w:rsidRPr="00355A78">
        <w:rPr>
          <w:i/>
        </w:rPr>
        <w:t>The Cambridge Companion to Greek Tragedy</w:t>
      </w:r>
      <w:r w:rsidRPr="00355A78">
        <w:t>. Cambridge: Cambridge University Press, pp. 3-35.</w:t>
      </w:r>
    </w:p>
    <w:p w14:paraId="6BD15FB9" w14:textId="77777777" w:rsidR="007849FA" w:rsidRPr="00355A78" w:rsidRDefault="007849FA" w:rsidP="007849FA">
      <w:r w:rsidRPr="00355A78">
        <w:t xml:space="preserve">Goldhill, S. (1990), ‘The Great Dionysia and Civic Ideology’, in J. J. Winkler and F. I. Zeitlin (eds.) </w:t>
      </w:r>
      <w:r w:rsidRPr="00355A78">
        <w:rPr>
          <w:i/>
        </w:rPr>
        <w:t>Nothing to Do With Dionysos?: Athenian Drama in its Social Context.</w:t>
      </w:r>
      <w:r w:rsidRPr="00355A78">
        <w:t xml:space="preserve"> Princeton, NJ: Princeton University Press, 1990, pp. 97-129.</w:t>
      </w:r>
    </w:p>
    <w:p w14:paraId="5A523D02" w14:textId="77777777" w:rsidR="007849FA" w:rsidRPr="00355A78" w:rsidRDefault="007849FA" w:rsidP="007849FA">
      <w:r w:rsidRPr="00355A78">
        <w:t xml:space="preserve">Goldhill. S. (1997), ‘The Audience of Athenian Tragedy’  in P. Easterling (ed.) </w:t>
      </w:r>
      <w:r w:rsidRPr="00355A78">
        <w:rPr>
          <w:i/>
        </w:rPr>
        <w:t>The Cambridge Companion to Greek Tragedy</w:t>
      </w:r>
      <w:r w:rsidRPr="00355A78">
        <w:t>. Cambridge: Cambridge University Press, pp.54-68.</w:t>
      </w:r>
    </w:p>
    <w:p w14:paraId="1FFB58DC" w14:textId="77777777" w:rsidR="007849FA" w:rsidRPr="00355A78" w:rsidRDefault="007849FA" w:rsidP="007849FA">
      <w:r w:rsidRPr="00355A78">
        <w:t xml:space="preserve">Goldhill, S. (2000) </w:t>
      </w:r>
      <w:r w:rsidRPr="00355A78">
        <w:rPr>
          <w:rFonts w:cs="Times"/>
        </w:rPr>
        <w:t>'</w:t>
      </w:r>
      <w:hyperlink r:id="rId27" w:history="1">
        <w:r w:rsidRPr="00355A78">
          <w:rPr>
            <w:rFonts w:cs="Times"/>
          </w:rPr>
          <w:t>Civic ideology and the problem of difference: the politics of Aeschylean tragedy, once again</w:t>
        </w:r>
      </w:hyperlink>
      <w:r w:rsidRPr="00355A78">
        <w:rPr>
          <w:rFonts w:cs="Times"/>
        </w:rPr>
        <w:t>',</w:t>
      </w:r>
      <w:r w:rsidRPr="00355A78">
        <w:rPr>
          <w:rFonts w:cs="Times"/>
          <w:color w:val="2A2A2A"/>
        </w:rPr>
        <w:t xml:space="preserve"> </w:t>
      </w:r>
      <w:r w:rsidRPr="00355A78">
        <w:rPr>
          <w:rFonts w:cs="Times"/>
          <w:i/>
          <w:iCs/>
          <w:color w:val="2A2A2A"/>
        </w:rPr>
        <w:t>JHS</w:t>
      </w:r>
      <w:r w:rsidRPr="00355A78">
        <w:rPr>
          <w:rFonts w:cs="Times"/>
          <w:color w:val="2A2A2A"/>
        </w:rPr>
        <w:t xml:space="preserve"> 120, pp. 34–56.</w:t>
      </w:r>
    </w:p>
    <w:p w14:paraId="088CAF51" w14:textId="77777777" w:rsidR="007849FA" w:rsidRDefault="007849FA" w:rsidP="007849FA">
      <w:pPr>
        <w:rPr>
          <w:rFonts w:cs="Times"/>
        </w:rPr>
      </w:pPr>
      <w:r w:rsidRPr="00355A78">
        <w:rPr>
          <w:rFonts w:cs="Times"/>
        </w:rPr>
        <w:t xml:space="preserve">Griffin, J. (1998) ‘The Social Function of Attic Tragedy’, </w:t>
      </w:r>
      <w:r w:rsidRPr="00355A78">
        <w:rPr>
          <w:rFonts w:cs="Times"/>
          <w:i/>
        </w:rPr>
        <w:t>CQ</w:t>
      </w:r>
      <w:r w:rsidRPr="00355A78">
        <w:rPr>
          <w:rFonts w:cs="Times"/>
        </w:rPr>
        <w:t xml:space="preserve"> 48.1 39-61.</w:t>
      </w:r>
    </w:p>
    <w:p w14:paraId="182E5D2B" w14:textId="77777777" w:rsidR="007849FA" w:rsidRDefault="007849FA" w:rsidP="007849FA">
      <w:r w:rsidRPr="00355A78">
        <w:t xml:space="preserve">Pelling. C. B. R. (1997) </w:t>
      </w:r>
      <w:r w:rsidRPr="00355A78">
        <w:rPr>
          <w:i/>
        </w:rPr>
        <w:t>Greek Tragedy and the Historian</w:t>
      </w:r>
      <w:r w:rsidRPr="00355A78">
        <w:t>, Oxford: Clarendon Press</w:t>
      </w:r>
    </w:p>
    <w:p w14:paraId="45B8EA93" w14:textId="77777777" w:rsidR="00E8048B" w:rsidRPr="00355A78" w:rsidRDefault="00E8048B" w:rsidP="00E8048B">
      <w:r w:rsidRPr="00355A78">
        <w:t xml:space="preserve">Seaford, R. (2000) ‘The Social Function of Attic Tragedy: A Response to Jasper Griffin’, </w:t>
      </w:r>
      <w:r w:rsidRPr="00355A78">
        <w:rPr>
          <w:i/>
        </w:rPr>
        <w:t>CQ</w:t>
      </w:r>
      <w:r w:rsidRPr="00355A78">
        <w:t xml:space="preserve"> 50, pp. 30-44.</w:t>
      </w:r>
    </w:p>
    <w:p w14:paraId="620BECD5" w14:textId="77777777" w:rsidR="00E8048B" w:rsidRPr="00355A78" w:rsidRDefault="00E8048B" w:rsidP="00E8048B">
      <w:r w:rsidRPr="00355A78">
        <w:lastRenderedPageBreak/>
        <w:t xml:space="preserve">Sourvinou-Inwood C. (2003) </w:t>
      </w:r>
      <w:r w:rsidRPr="00355A78">
        <w:rPr>
          <w:i/>
        </w:rPr>
        <w:t>Tragedy and Athenian Religion</w:t>
      </w:r>
      <w:r w:rsidRPr="00355A78">
        <w:t xml:space="preserve">. Lanham, MD: Lexington Books </w:t>
      </w:r>
    </w:p>
    <w:p w14:paraId="7E8982A3" w14:textId="77777777" w:rsidR="00E8048B" w:rsidRPr="00355A78" w:rsidRDefault="00E8048B" w:rsidP="00E8048B">
      <w:r w:rsidRPr="00355A78">
        <w:t xml:space="preserve">Steinbock, B. (2013) </w:t>
      </w:r>
      <w:r w:rsidRPr="00355A78">
        <w:rPr>
          <w:i/>
        </w:rPr>
        <w:t>Social Memory and Athenian Public Discourse: Use and Meanings of the Past.</w:t>
      </w:r>
      <w:r w:rsidRPr="00355A78">
        <w:t xml:space="preserve"> Ann Arbor, MI: University of Michigan Press.</w:t>
      </w:r>
    </w:p>
    <w:p w14:paraId="7C65B08E" w14:textId="77777777" w:rsidR="00E8048B" w:rsidRPr="00355A78" w:rsidRDefault="00E8048B" w:rsidP="00E8048B">
      <w:r w:rsidRPr="00355A78">
        <w:t xml:space="preserve">Zeitlin, F. (1990), ‘Thebes: Theater of Self and Society in Athenian Drama”, in J. J. Winkler and F. I. Zeitlin (eds.) </w:t>
      </w:r>
      <w:r w:rsidRPr="00355A78">
        <w:rPr>
          <w:i/>
        </w:rPr>
        <w:t>Nothing to Do With Dionysos?: Athenian Drama in its Social Context.</w:t>
      </w:r>
      <w:r w:rsidRPr="00355A78">
        <w:t xml:space="preserve"> Princeton, NJ: Princeton University Press, 1990, pp. 130-67.</w:t>
      </w:r>
    </w:p>
    <w:p w14:paraId="643335D7" w14:textId="77777777" w:rsidR="00E8048B" w:rsidRPr="00355A78" w:rsidRDefault="00E8048B" w:rsidP="007849FA"/>
    <w:p w14:paraId="1BA5557F" w14:textId="77777777" w:rsidR="007849FA" w:rsidRPr="00355A78" w:rsidRDefault="007849FA" w:rsidP="007849FA">
      <w:pPr>
        <w:rPr>
          <w:rFonts w:cs="Times"/>
        </w:rPr>
      </w:pPr>
    </w:p>
    <w:p w14:paraId="30CD9B31" w14:textId="77777777" w:rsidR="00E26500" w:rsidRDefault="00E26500">
      <w:bookmarkStart w:id="0" w:name="_GoBack"/>
      <w:bookmarkEnd w:id="0"/>
    </w:p>
    <w:sectPr w:rsidR="00E26500" w:rsidSect="00E26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415"/>
    <w:multiLevelType w:val="hybridMultilevel"/>
    <w:tmpl w:val="086A1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0CB"/>
    <w:multiLevelType w:val="hybridMultilevel"/>
    <w:tmpl w:val="086A1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1"/>
    <w:rsid w:val="00170ECD"/>
    <w:rsid w:val="003E1B54"/>
    <w:rsid w:val="00784233"/>
    <w:rsid w:val="007849FA"/>
    <w:rsid w:val="00827F3E"/>
    <w:rsid w:val="009B0901"/>
    <w:rsid w:val="00C22EE1"/>
    <w:rsid w:val="00C42C74"/>
    <w:rsid w:val="00E26500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D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rseus.tufts.edu/hopper/morph?l=ga%5Cr&amp;la=greek&amp;can=ga%5Cr3&amp;prior=fasi%5C" TargetMode="External"/><Relationship Id="rId20" Type="http://schemas.openxmlformats.org/officeDocument/2006/relationships/hyperlink" Target="http://www.perseus.tufts.edu/hopper/morph?l=a%29%5Cn&amp;la=greek&amp;can=a%29%5Cn0&amp;prior=a(/tt'" TargetMode="External"/><Relationship Id="rId21" Type="http://schemas.openxmlformats.org/officeDocument/2006/relationships/hyperlink" Target="http://www.perseus.tufts.edu/hopper/morph?l=u%28mei%3Ds&amp;la=greek&amp;can=u%28mei%3Ds0&amp;prior=a)%5Cn" TargetMode="External"/><Relationship Id="rId22" Type="http://schemas.openxmlformats.org/officeDocument/2006/relationships/hyperlink" Target="http://www.perseus.tufts.edu/hopper/morph?l=e%29cama%2Frtht%27&amp;la=greek&amp;can=e%29cama%2Frtht%270&amp;prior=u(mei=s" TargetMode="External"/><Relationship Id="rId23" Type="http://schemas.openxmlformats.org/officeDocument/2006/relationships/hyperlink" Target="http://www.perseus.tufts.edu/hopper/morph?l=e%29pi%5C&amp;la=greek&amp;can=e%29pi%5C0&amp;prior=e)cama/rtht'" TargetMode="External"/><Relationship Id="rId24" Type="http://schemas.openxmlformats.org/officeDocument/2006/relationships/hyperlink" Target="http://www.perseus.tufts.edu/hopper/morph?l=to%5C&amp;la=greek&amp;can=to%5C0&amp;prior=e)pi%5C" TargetMode="External"/><Relationship Id="rId25" Type="http://schemas.openxmlformats.org/officeDocument/2006/relationships/hyperlink" Target="http://www.perseus.tufts.edu/hopper/morph?l=be%2Fltion&amp;la=greek&amp;can=be%2Fltion0&amp;prior=to%5C" TargetMode="External"/><Relationship Id="rId26" Type="http://schemas.openxmlformats.org/officeDocument/2006/relationships/hyperlink" Target="http://www.perseus.tufts.edu/hopper/morph?l=tre%2Fpein&amp;la=greek&amp;can=tre%2Fpein0&amp;prior=be/ltion" TargetMode="External"/><Relationship Id="rId27" Type="http://schemas.openxmlformats.org/officeDocument/2006/relationships/hyperlink" Target="http://www.jstor.org/stable/632480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perseus.tufts.edu/hopper/morph?l=dusbouli%2Fan&amp;la=greek&amp;can=dusbouli%2Fan0&amp;prior=ga%5Cr" TargetMode="External"/><Relationship Id="rId11" Type="http://schemas.openxmlformats.org/officeDocument/2006/relationships/hyperlink" Target="http://www.perseus.tufts.edu/hopper/morph?l=th%3D%7Cde&amp;la=greek&amp;can=th%3D%7Cde0&amp;prior=dusbouli/an" TargetMode="External"/><Relationship Id="rId12" Type="http://schemas.openxmlformats.org/officeDocument/2006/relationships/hyperlink" Target="http://www.perseus.tufts.edu/hopper/morph?l=th%3D%7C&amp;la=greek&amp;can=th%3D%7C0&amp;prior=th=%7Cde" TargetMode="External"/><Relationship Id="rId13" Type="http://schemas.openxmlformats.org/officeDocument/2006/relationships/hyperlink" Target="http://www.perseus.tufts.edu/hopper/morph?l=po%2Flei&amp;la=greek&amp;can=po%2Flei0&amp;prior=th=%7C" TargetMode="External"/><Relationship Id="rId14" Type="http://schemas.openxmlformats.org/officeDocument/2006/relationships/hyperlink" Target="http://www.perseus.tufts.edu/hopper/morph?l=prosei%3Dnai&amp;la=greek&amp;can=prosei%3Dnai0&amp;prior=po/lei" TargetMode="External"/><Relationship Id="rId15" Type="http://schemas.openxmlformats.org/officeDocument/2006/relationships/hyperlink" Target="http://www.perseus.tufts.edu/hopper/morph?l=tau%3Dta&amp;la=greek&amp;can=tau%3Dta0&amp;prior=prosei=nai" TargetMode="External"/><Relationship Id="rId16" Type="http://schemas.openxmlformats.org/officeDocument/2006/relationships/hyperlink" Target="http://www.perseus.tufts.edu/hopper/morph?l=me%2Fntoi&amp;la=greek&amp;can=me%2Fntoi0&amp;prior=tau=ta" TargetMode="External"/><Relationship Id="rId17" Type="http://schemas.openxmlformats.org/officeDocument/2006/relationships/hyperlink" Target="http://www.perseus.tufts.edu/hopper/morph?l=tou%5Cs&amp;la=greek&amp;can=tou%5Cs0&amp;prior=me/ntoi" TargetMode="External"/><Relationship Id="rId18" Type="http://schemas.openxmlformats.org/officeDocument/2006/relationships/hyperlink" Target="http://www.perseus.tufts.edu/hopper/morph?l=qeou%5Cs&amp;la=greek&amp;can=qeou%5Cs0&amp;prior=tou%5Cs" TargetMode="External"/><Relationship Id="rId19" Type="http://schemas.openxmlformats.org/officeDocument/2006/relationships/hyperlink" Target="http://www.perseus.tufts.edu/hopper/morph?l=a%28%2Ftt%27&amp;la=greek&amp;can=a%28%2Ftt%270&amp;prior=qeou%5C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ills@unca.edu" TargetMode="External"/><Relationship Id="rId7" Type="http://schemas.openxmlformats.org/officeDocument/2006/relationships/hyperlink" Target="http://www.sfgate.com/politics/joegarofoli/article/Film-touches-deep-nerve-for-families-of-Flight-93-2499479.php" TargetMode="External"/><Relationship Id="rId8" Type="http://schemas.openxmlformats.org/officeDocument/2006/relationships/hyperlink" Target="http://www.perseus.tufts.edu/hopper/morph?l=fasi%5C&amp;la=greek&amp;can=fasi%5C0&amp;prior=tou=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4511</Characters>
  <Application>Microsoft Macintosh Word</Application>
  <DocSecurity>0</DocSecurity>
  <Lines>69</Lines>
  <Paragraphs>5</Paragraphs>
  <ScaleCrop>false</ScaleCrop>
  <Company>UNC Asheville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Mills</dc:creator>
  <cp:keywords/>
  <dc:description/>
  <cp:lastModifiedBy>Sophie Mills</cp:lastModifiedBy>
  <cp:revision>7</cp:revision>
  <dcterms:created xsi:type="dcterms:W3CDTF">2017-03-24T14:23:00Z</dcterms:created>
  <dcterms:modified xsi:type="dcterms:W3CDTF">2017-03-24T17:19:00Z</dcterms:modified>
</cp:coreProperties>
</file>