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9D" w:rsidRDefault="00B8209D" w:rsidP="00EB1DCF">
      <w:pPr>
        <w:tabs>
          <w:tab w:val="left" w:pos="4860"/>
          <w:tab w:val="left" w:pos="5760"/>
        </w:tabs>
        <w:spacing w:after="40"/>
        <w:ind w:right="-144"/>
        <w:outlineLvl w:val="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5396"/>
        <w:gridCol w:w="5580"/>
      </w:tblGrid>
      <w:tr w:rsidR="00B8209D" w:rsidRPr="00342440" w:rsidTr="00EB1DCF">
        <w:tc>
          <w:tcPr>
            <w:tcW w:w="2458" w:type="pct"/>
          </w:tcPr>
          <w:p w:rsidR="00342440" w:rsidRPr="00942C01" w:rsidRDefault="00342440" w:rsidP="00047638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942C0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Tristia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2C0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4.4b</w:t>
            </w:r>
          </w:p>
          <w:p w:rsidR="00342440" w:rsidRPr="00942C01" w:rsidRDefault="00342440" w:rsidP="00047638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342440" w:rsidRPr="00942C01" w:rsidRDefault="00342440" w:rsidP="00047638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8209D" w:rsidRPr="00942C01" w:rsidRDefault="00342440" w:rsidP="00047638">
            <w:pPr>
              <w:tabs>
                <w:tab w:val="left" w:pos="4852"/>
              </w:tabs>
              <w:spacing w:after="0" w:line="240" w:lineRule="auto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frigida</w:t>
            </w:r>
            <w:proofErr w:type="spellEnd"/>
            <w:proofErr w:type="gram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</w:t>
            </w:r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ohibent</w:t>
            </w:r>
            <w:proofErr w:type="spellEnd"/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Euxini</w:t>
            </w:r>
            <w:proofErr w:type="spellEnd"/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litora</w:t>
            </w:r>
            <w:proofErr w:type="spellEnd"/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Ponti</w:t>
            </w:r>
            <w:proofErr w:type="spellEnd"/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:                    </w:t>
            </w:r>
            <w:r w:rsidR="00EB1DCF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55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dictus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ab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antiquis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Axenus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ille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fuit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proofErr w:type="gram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nam</w:t>
            </w:r>
            <w:proofErr w:type="spellEnd"/>
            <w:proofErr w:type="gram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neque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iactantur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moderatis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aequora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ventis,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nec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placidos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portus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hospita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navis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adit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proofErr w:type="gram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sunt</w:t>
            </w:r>
            <w:proofErr w:type="spellEnd"/>
            <w:proofErr w:type="gram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circa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gentes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quae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praedam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sanguine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quaerunt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;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nec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minus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infida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terra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timetur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aqua.                    </w:t>
            </w:r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B1DCF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60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illi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quos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audis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hominum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gaudere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cruore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paene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sub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eiusdem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sideris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axe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iacent</w:t>
            </w:r>
            <w:proofErr w:type="spellEnd"/>
            <w:proofErr w:type="gram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nec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procul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nobis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locus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ubi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Taurica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dira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caede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pharetratae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spargitur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ara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deae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proofErr w:type="gram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haec</w:t>
            </w:r>
            <w:proofErr w:type="spellEnd"/>
            <w:proofErr w:type="gram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prius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memorant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non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invidiosa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nefandis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   </w:t>
            </w:r>
            <w:r w:rsid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65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nec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cupienda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bonis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regna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Thoantis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erant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gram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hic</w:t>
            </w:r>
            <w:proofErr w:type="gram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supposita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virgo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Pelope</w:t>
            </w:r>
            <w:r w:rsidR="000476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ï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cerva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    sacra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deae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coluit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qualiacumque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suae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quo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postquam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dubium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pius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an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sceleratus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Orestes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exactus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Furiis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venerat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ipse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suis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                    </w:t>
            </w:r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      </w:t>
            </w:r>
            <w:r w:rsid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70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et comes exemplum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veri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Phoceus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amoris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    qui duo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corporibus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mentibus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unus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erant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protinus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evincti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tristem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ducuntur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ad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aram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    quae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stabat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geminas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ante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cruenta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fores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proofErr w:type="gram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nec</w:t>
            </w:r>
            <w:proofErr w:type="spellEnd"/>
            <w:proofErr w:type="gram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tamen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hunc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sua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mors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nec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mors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sua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terruit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illu</w:t>
            </w:r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</w:t>
            </w:r>
            <w:proofErr w:type="spellEnd"/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; </w:t>
            </w:r>
            <w:r w:rsid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75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    alter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ob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alterius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funera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maestus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erat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gram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et</w:t>
            </w:r>
            <w:proofErr w:type="gram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iam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constiterat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stricto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mucrone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sacerdos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cinxerat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Graias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barbara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vitta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comas,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cum vice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sermonis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fratrem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cognovit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et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illi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    pro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nece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complexus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Iphigenia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dedit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                    </w:t>
            </w:r>
            <w:r w:rsidR="00793106"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80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laeta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deae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signum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crudelia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sacra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perosae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transtulit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ex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illis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meliora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locis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haec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igitur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regio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magni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paene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ultima mundi,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    quam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fugere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homines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dique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propinqua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mihi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;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aque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mea terra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prope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sunt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funebria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sacra,                    </w:t>
            </w:r>
            <w:r w:rsid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85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modo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Nasoni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barbara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terra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sua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est.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o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utinam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venti,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quibus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ablatus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Orestes,</w:t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  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placato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referant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et mea vela </w:t>
            </w:r>
            <w:proofErr w:type="spellStart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deo</w:t>
            </w:r>
            <w:proofErr w:type="spellEnd"/>
            <w:r w:rsidRPr="00942C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!</w:t>
            </w:r>
          </w:p>
        </w:tc>
        <w:tc>
          <w:tcPr>
            <w:tcW w:w="2542" w:type="pct"/>
          </w:tcPr>
          <w:p w:rsidR="00B672E5" w:rsidRPr="00942C01" w:rsidRDefault="005218B1" w:rsidP="00047638">
            <w:pPr>
              <w:spacing w:afterLines="80" w:after="192" w:line="240" w:lineRule="auto"/>
              <w:ind w:left="14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2C0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  <w:p w:rsidR="00C56F4E" w:rsidRPr="00942C01" w:rsidRDefault="00C56F4E" w:rsidP="00047638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4A" w:rsidRPr="00942C01" w:rsidRDefault="0059234A" w:rsidP="001C5B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cold 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shore</w:t>
            </w:r>
            <w:r w:rsidR="00F6656D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the 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Pontus 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Euxine 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[“Hospitable”] 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restrain me; that sea was named </w:t>
            </w:r>
            <w:proofErr w:type="spellStart"/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Axenus</w:t>
            </w:r>
            <w:proofErr w:type="spellEnd"/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[“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nhospitable”]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by men of old. 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</w:t>
            </w:r>
            <w:r w:rsidR="004D1F38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neither is the sea tossed by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moderate winds, </w:t>
            </w:r>
            <w:r w:rsidR="004D1F38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nor do 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foreign ships approach 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calm harbors. There are tribes around who seek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booty </w:t>
            </w:r>
            <w:r w:rsidR="001C5719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r w:rsidR="004D1F38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bloodshed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; n</w:t>
            </w:r>
            <w:r w:rsidR="004D1F38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or is the land to be feared less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than the treacherous 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sea. 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Those whom you hear 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 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rejoi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cing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the blood</w:t>
            </w:r>
            <w:r w:rsidR="00AD55B3">
              <w:rPr>
                <w:rFonts w:ascii="Times New Roman" w:hAnsi="Times New Roman" w:cs="Times New Roman"/>
                <w:bCs/>
                <w:sz w:val="20"/>
                <w:szCs w:val="20"/>
              </w:rPr>
              <w:t>shed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men 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dwell almost under the axis of the </w:t>
            </w:r>
            <w:r w:rsidR="009D466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same </w:t>
            </w:r>
            <w:r w:rsidR="008B15A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constellation </w:t>
            </w:r>
            <w:r w:rsidR="009D466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[as I do], nor is the</w:t>
            </w:r>
            <w:r w:rsidR="00F665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location far from us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the </w:t>
            </w:r>
            <w:proofErr w:type="spellStart"/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Tauric</w:t>
            </w:r>
            <w:proofErr w:type="spellEnd"/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altar of the quivered goddess is spattered with</w:t>
            </w:r>
            <w:r w:rsidR="000A7BF1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dreadful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A7BF1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slaughter</w:t>
            </w:r>
            <w:r w:rsidR="00731BE5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A7BF1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C5719">
              <w:rPr>
                <w:rFonts w:ascii="Times New Roman" w:hAnsi="Times New Roman" w:cs="Times New Roman"/>
                <w:bCs/>
                <w:sz w:val="20"/>
                <w:szCs w:val="20"/>
              </w:rPr>
              <w:t>People say previously</w:t>
            </w:r>
            <w:r w:rsidR="000A7BF1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D1F38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this </w:t>
            </w:r>
            <w:r w:rsidR="000A7BF1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was </w:t>
            </w:r>
            <w:proofErr w:type="spellStart"/>
            <w:r w:rsidR="008B15A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Thoas</w:t>
            </w:r>
            <w:proofErr w:type="spellEnd"/>
            <w:r w:rsidR="008B15A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’</w:t>
            </w:r>
            <w:r w:rsidR="001C5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kingdom, not</w:t>
            </w:r>
            <w:r w:rsidR="000A7BF1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envied by the wicked nor desired by the good.</w:t>
            </w:r>
          </w:p>
          <w:p w:rsidR="009F78CB" w:rsidRDefault="009F78CB" w:rsidP="00047638">
            <w:pPr>
              <w:spacing w:before="80"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14DCF" w:rsidRPr="00942C01" w:rsidRDefault="000A7BF1" w:rsidP="001C5B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Here the </w:t>
            </w:r>
            <w:proofErr w:type="spellStart"/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Pelopian</w:t>
            </w:r>
            <w:proofErr w:type="spellEnd"/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maiden, </w:t>
            </w:r>
            <w:r w:rsidR="004D1F38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for whom</w:t>
            </w:r>
            <w:r w:rsidR="001C5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doe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was substituted</w:t>
            </w:r>
            <w:r w:rsidR="001A6359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02129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carried out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rites </w:t>
            </w:r>
            <w:r w:rsidR="004D1F38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her goddess</w:t>
            </w:r>
            <w:r w:rsidR="00EB1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2129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r w:rsidR="00EB1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whatever 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sort </w:t>
            </w:r>
            <w:r w:rsidR="00EB1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they were. 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EB1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fter Orestes himself had come</w:t>
            </w:r>
            <w:r w:rsidR="005C6860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656D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here</w:t>
            </w:r>
            <w:r w:rsidR="00AD55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driven by his own </w:t>
            </w:r>
            <w:proofErr w:type="spellStart"/>
            <w:r w:rsidR="00AD55B3">
              <w:rPr>
                <w:rFonts w:ascii="Times New Roman" w:hAnsi="Times New Roman" w:cs="Times New Roman"/>
                <w:bCs/>
                <w:sz w:val="20"/>
                <w:szCs w:val="20"/>
              </w:rPr>
              <w:t>Furies</w:t>
            </w:r>
            <w:r w:rsidR="00AD55B3">
              <w:rPr>
                <w:rFonts w:asciiTheme="majorEastAsia" w:hAnsiTheme="majorEastAsia" w:cstheme="majorEastAsia" w:hint="eastAsia"/>
                <w:bCs/>
                <w:sz w:val="20"/>
                <w:szCs w:val="20"/>
              </w:rPr>
              <w:t>─</w:t>
            </w:r>
            <w:r w:rsidR="00EB1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it</w:t>
            </w:r>
            <w:proofErr w:type="spellEnd"/>
            <w:r w:rsidR="00EB1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 unclear whether he was</w:t>
            </w:r>
            <w:r w:rsidR="00AD55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good or </w:t>
            </w:r>
            <w:proofErr w:type="spellStart"/>
            <w:r w:rsidR="00AD55B3">
              <w:rPr>
                <w:rFonts w:ascii="Times New Roman" w:hAnsi="Times New Roman" w:cs="Times New Roman"/>
                <w:bCs/>
                <w:sz w:val="20"/>
                <w:szCs w:val="20"/>
              </w:rPr>
              <w:t>evil</w:t>
            </w:r>
            <w:r w:rsidR="00AD55B3">
              <w:rPr>
                <w:rFonts w:asciiTheme="majorEastAsia" w:hAnsiTheme="majorEastAsia" w:cstheme="majorEastAsia" w:hint="eastAsia"/>
                <w:bCs/>
                <w:sz w:val="20"/>
                <w:szCs w:val="20"/>
              </w:rPr>
              <w:t>─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accompanied</w:t>
            </w:r>
            <w:proofErr w:type="spellEnd"/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by</w:t>
            </w:r>
            <w:r w:rsidR="00F665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656D">
              <w:rPr>
                <w:rFonts w:ascii="Times New Roman" w:hAnsi="Times New Roman" w:cs="Times New Roman"/>
                <w:bCs/>
                <w:sz w:val="20"/>
                <w:szCs w:val="20"/>
              </w:rPr>
              <w:t>Pylades</w:t>
            </w:r>
            <w:proofErr w:type="spellEnd"/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, a model of true devotion, who were two in body and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one in mind, straightaway they 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were bound and led to the grim altar, which stood before the twin doors. Yet</w:t>
            </w:r>
            <w:r w:rsidR="00614DCF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his own death frightene</w:t>
            </w:r>
            <w:r w:rsidR="00E866E2">
              <w:rPr>
                <w:rFonts w:ascii="Times New Roman" w:hAnsi="Times New Roman" w:cs="Times New Roman"/>
                <w:bCs/>
                <w:sz w:val="20"/>
                <w:szCs w:val="20"/>
              </w:rPr>
              <w:t>d neither one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; each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was sad because of the 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impending 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death of the other. </w:t>
            </w:r>
            <w:r w:rsidR="00E955D3">
              <w:rPr>
                <w:rFonts w:ascii="Times New Roman" w:hAnsi="Times New Roman" w:cs="Times New Roman"/>
                <w:bCs/>
                <w:sz w:val="20"/>
                <w:szCs w:val="20"/>
              </w:rPr>
              <w:t>Already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4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had 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priestess </w:t>
            </w:r>
            <w:r w:rsidR="004B5381">
              <w:rPr>
                <w:rFonts w:ascii="Times New Roman" w:hAnsi="Times New Roman" w:cs="Times New Roman"/>
                <w:bCs/>
                <w:sz w:val="20"/>
                <w:szCs w:val="20"/>
              </w:rPr>
              <w:t>taken her</w:t>
            </w:r>
            <w:r w:rsidR="00294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stand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sword drawn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, and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barbarian</w:t>
            </w:r>
            <w:r w:rsidR="009D466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fillet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9D466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bound her Greek tresses</w:t>
            </w:r>
            <w:r w:rsidR="00942C0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when 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Iphigenia 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recognized her brother through an exchange of conversation, </w:t>
            </w:r>
            <w:r w:rsidR="004B5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and instead of killing him, 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she 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gave him hugs. 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Happ</w:t>
            </w:r>
            <w:r w:rsidR="005C6860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il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="00317157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F177D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she </w:t>
            </w:r>
            <w:r w:rsidR="009D466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conveyed the statue of the goddess</w:t>
            </w:r>
            <w:r w:rsidR="005C6860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D466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loathing cruel rites</w:t>
            </w:r>
            <w:r w:rsidR="005C6860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D466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from </w:t>
            </w:r>
            <w:r w:rsidR="00D027EE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that place</w:t>
            </w:r>
            <w:r w:rsidR="009D466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a better </w:t>
            </w:r>
            <w:r w:rsidR="00D027EE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one</w:t>
            </w:r>
            <w:r w:rsidR="009D466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F78CB" w:rsidRDefault="009F78CB" w:rsidP="005707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9D4664" w:rsidRPr="00942C01" w:rsidRDefault="005C6860" w:rsidP="001C5B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This region, therefore, almost the </w:t>
            </w:r>
            <w:r w:rsidR="008B15A4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most remote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the </w:t>
            </w:r>
            <w:r w:rsidR="00894E42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vast 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world, </w:t>
            </w:r>
            <w:r w:rsidR="001C5719">
              <w:rPr>
                <w:rFonts w:ascii="Times New Roman" w:hAnsi="Times New Roman" w:cs="Times New Roman"/>
                <w:bCs/>
                <w:sz w:val="20"/>
                <w:szCs w:val="20"/>
              </w:rPr>
              <w:t>which men and gods fled, is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near</w:t>
            </w:r>
            <w:r w:rsidR="001C5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me; the rites of death are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near my </w:t>
            </w:r>
            <w:r w:rsidR="0098511A"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land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, if a</w:t>
            </w:r>
            <w:r w:rsid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barbarian land is </w:t>
            </w:r>
            <w:proofErr w:type="spellStart"/>
            <w:r w:rsidR="00942C01">
              <w:rPr>
                <w:rFonts w:ascii="Times New Roman" w:hAnsi="Times New Roman" w:cs="Times New Roman"/>
                <w:bCs/>
                <w:sz w:val="20"/>
                <w:szCs w:val="20"/>
              </w:rPr>
              <w:t>Naso’s</w:t>
            </w:r>
            <w:proofErr w:type="spellEnd"/>
            <w:r w:rsidR="00942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own. </w:t>
            </w:r>
            <w:r w:rsidRPr="00942C01">
              <w:rPr>
                <w:rFonts w:ascii="Times New Roman" w:hAnsi="Times New Roman" w:cs="Times New Roman"/>
                <w:bCs/>
                <w:sz w:val="20"/>
                <w:szCs w:val="20"/>
              </w:rPr>
              <w:t>Would that the winds, by which Orestes was carried away, carry my sails homeward also as soon as the god is placated!</w:t>
            </w:r>
          </w:p>
          <w:p w:rsidR="000A7BF1" w:rsidRPr="00942C01" w:rsidRDefault="000A7BF1" w:rsidP="00047638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7BF1" w:rsidRPr="00942C01" w:rsidRDefault="000A7BF1" w:rsidP="00047638">
            <w:pPr>
              <w:spacing w:after="12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7BF1" w:rsidRPr="00942C01" w:rsidRDefault="000A7BF1" w:rsidP="00047638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7BF1" w:rsidRPr="00942C01" w:rsidRDefault="000A7BF1" w:rsidP="00047638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4A" w:rsidRPr="00942C01" w:rsidRDefault="0059234A" w:rsidP="00047638">
            <w:pPr>
              <w:spacing w:afterLines="80" w:after="192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4E" w:rsidRPr="00942C01" w:rsidRDefault="00C56F4E" w:rsidP="00047638">
            <w:pPr>
              <w:spacing w:afterLines="80" w:after="192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4E" w:rsidRPr="00942C01" w:rsidRDefault="00C56F4E" w:rsidP="00047638">
            <w:pPr>
              <w:spacing w:afterLines="80" w:after="192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4E" w:rsidRPr="00942C01" w:rsidRDefault="00C56F4E" w:rsidP="00047638">
            <w:pPr>
              <w:spacing w:afterLines="80" w:after="192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4E" w:rsidRPr="00942C01" w:rsidRDefault="00C56F4E" w:rsidP="00047638">
            <w:pPr>
              <w:spacing w:afterLines="80" w:after="192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F4E" w:rsidRPr="00942C01" w:rsidRDefault="00C56F4E" w:rsidP="00047638">
            <w:pPr>
              <w:spacing w:afterLines="80" w:after="192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E0981" w:rsidRPr="00942C01" w:rsidRDefault="000E0981" w:rsidP="00047638">
            <w:pPr>
              <w:spacing w:afterLines="80" w:after="192" w:line="240" w:lineRule="auto"/>
              <w:ind w:left="14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A012E" w:rsidRPr="00342440" w:rsidRDefault="00BA012E" w:rsidP="009F1769">
      <w:pPr>
        <w:spacing w:after="0" w:line="240" w:lineRule="auto"/>
        <w:rPr>
          <w:rFonts w:ascii="Times New Roman" w:hAnsi="Times New Roman" w:cs="Times New Roman"/>
        </w:rPr>
      </w:pPr>
    </w:p>
    <w:sectPr w:rsidR="00BA012E" w:rsidRPr="00342440" w:rsidSect="00570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4C" w:rsidRDefault="00F7504C" w:rsidP="00C5245D">
      <w:pPr>
        <w:spacing w:after="0" w:line="240" w:lineRule="auto"/>
      </w:pPr>
      <w:r>
        <w:separator/>
      </w:r>
    </w:p>
  </w:endnote>
  <w:endnote w:type="continuationSeparator" w:id="0">
    <w:p w:rsidR="00F7504C" w:rsidRDefault="00F7504C" w:rsidP="00C5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6D" w:rsidRDefault="00475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6D" w:rsidRDefault="00475E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6D" w:rsidRDefault="00475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4C" w:rsidRDefault="00F7504C" w:rsidP="00C5245D">
      <w:pPr>
        <w:spacing w:after="0" w:line="240" w:lineRule="auto"/>
      </w:pPr>
      <w:r>
        <w:separator/>
      </w:r>
    </w:p>
  </w:footnote>
  <w:footnote w:type="continuationSeparator" w:id="0">
    <w:p w:rsidR="00F7504C" w:rsidRDefault="00F7504C" w:rsidP="00C5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6D" w:rsidRDefault="00475E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EA" w:rsidRPr="00564CEA" w:rsidRDefault="00475E6D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Dettmer, CAMWS 2017, page 5</w:t>
    </w:r>
  </w:p>
  <w:p w:rsidR="00C5245D" w:rsidRPr="00113B90" w:rsidRDefault="00C5245D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6D" w:rsidRDefault="00475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9D"/>
    <w:rsid w:val="00001ACB"/>
    <w:rsid w:val="00016E4A"/>
    <w:rsid w:val="00037B19"/>
    <w:rsid w:val="00047638"/>
    <w:rsid w:val="0006768D"/>
    <w:rsid w:val="00075A97"/>
    <w:rsid w:val="000A7BF1"/>
    <w:rsid w:val="000B6292"/>
    <w:rsid w:val="000E0981"/>
    <w:rsid w:val="000F664C"/>
    <w:rsid w:val="00102803"/>
    <w:rsid w:val="00113B90"/>
    <w:rsid w:val="00114045"/>
    <w:rsid w:val="00132F9E"/>
    <w:rsid w:val="00145322"/>
    <w:rsid w:val="001459B9"/>
    <w:rsid w:val="0015201B"/>
    <w:rsid w:val="00154EFC"/>
    <w:rsid w:val="001635B9"/>
    <w:rsid w:val="00192DC0"/>
    <w:rsid w:val="0019379F"/>
    <w:rsid w:val="001961E0"/>
    <w:rsid w:val="001A6359"/>
    <w:rsid w:val="001B3D51"/>
    <w:rsid w:val="001C1361"/>
    <w:rsid w:val="001C5719"/>
    <w:rsid w:val="001C5BFE"/>
    <w:rsid w:val="001D25A8"/>
    <w:rsid w:val="001E3B72"/>
    <w:rsid w:val="002118DA"/>
    <w:rsid w:val="00260421"/>
    <w:rsid w:val="00280FFA"/>
    <w:rsid w:val="0029405C"/>
    <w:rsid w:val="002B5186"/>
    <w:rsid w:val="002C74F0"/>
    <w:rsid w:val="002D3C3E"/>
    <w:rsid w:val="00311790"/>
    <w:rsid w:val="003151D6"/>
    <w:rsid w:val="00317157"/>
    <w:rsid w:val="00322F83"/>
    <w:rsid w:val="00325839"/>
    <w:rsid w:val="00336E08"/>
    <w:rsid w:val="00342440"/>
    <w:rsid w:val="003A505A"/>
    <w:rsid w:val="003B4D51"/>
    <w:rsid w:val="003D1FC3"/>
    <w:rsid w:val="003D496A"/>
    <w:rsid w:val="003E12BD"/>
    <w:rsid w:val="003E5624"/>
    <w:rsid w:val="003E74FD"/>
    <w:rsid w:val="004054F1"/>
    <w:rsid w:val="0041226B"/>
    <w:rsid w:val="00423265"/>
    <w:rsid w:val="004245CA"/>
    <w:rsid w:val="00451133"/>
    <w:rsid w:val="00475E6D"/>
    <w:rsid w:val="00476904"/>
    <w:rsid w:val="00482101"/>
    <w:rsid w:val="00493121"/>
    <w:rsid w:val="004B04F1"/>
    <w:rsid w:val="004B5381"/>
    <w:rsid w:val="004C7985"/>
    <w:rsid w:val="004D1F38"/>
    <w:rsid w:val="004D59EC"/>
    <w:rsid w:val="004E197D"/>
    <w:rsid w:val="005218B1"/>
    <w:rsid w:val="00564CEA"/>
    <w:rsid w:val="005707FB"/>
    <w:rsid w:val="0059234A"/>
    <w:rsid w:val="005B78A5"/>
    <w:rsid w:val="005C0BFF"/>
    <w:rsid w:val="005C6860"/>
    <w:rsid w:val="005D19BF"/>
    <w:rsid w:val="005D7D35"/>
    <w:rsid w:val="005E3F70"/>
    <w:rsid w:val="005F177D"/>
    <w:rsid w:val="00614DCF"/>
    <w:rsid w:val="00625267"/>
    <w:rsid w:val="006366A7"/>
    <w:rsid w:val="006736E7"/>
    <w:rsid w:val="00685535"/>
    <w:rsid w:val="006B4FDA"/>
    <w:rsid w:val="006B579A"/>
    <w:rsid w:val="00702129"/>
    <w:rsid w:val="007175DB"/>
    <w:rsid w:val="00724EF8"/>
    <w:rsid w:val="00731BE5"/>
    <w:rsid w:val="00745E25"/>
    <w:rsid w:val="00751A85"/>
    <w:rsid w:val="00773F52"/>
    <w:rsid w:val="00793106"/>
    <w:rsid w:val="007D4903"/>
    <w:rsid w:val="007F16FF"/>
    <w:rsid w:val="0081298E"/>
    <w:rsid w:val="0082050C"/>
    <w:rsid w:val="00822F07"/>
    <w:rsid w:val="008362D1"/>
    <w:rsid w:val="008759F7"/>
    <w:rsid w:val="00875A60"/>
    <w:rsid w:val="00881096"/>
    <w:rsid w:val="00894E42"/>
    <w:rsid w:val="00897425"/>
    <w:rsid w:val="008B15A4"/>
    <w:rsid w:val="008B6490"/>
    <w:rsid w:val="008D1227"/>
    <w:rsid w:val="008F0F3C"/>
    <w:rsid w:val="008F6979"/>
    <w:rsid w:val="00925CCF"/>
    <w:rsid w:val="00935EAF"/>
    <w:rsid w:val="00942C01"/>
    <w:rsid w:val="009443D2"/>
    <w:rsid w:val="0094715C"/>
    <w:rsid w:val="00955B84"/>
    <w:rsid w:val="00956BF4"/>
    <w:rsid w:val="0098511A"/>
    <w:rsid w:val="00987EB1"/>
    <w:rsid w:val="009A6996"/>
    <w:rsid w:val="009B0A54"/>
    <w:rsid w:val="009D4664"/>
    <w:rsid w:val="009F1769"/>
    <w:rsid w:val="009F35C4"/>
    <w:rsid w:val="009F464C"/>
    <w:rsid w:val="009F754D"/>
    <w:rsid w:val="009F78CB"/>
    <w:rsid w:val="00A00FDE"/>
    <w:rsid w:val="00A63620"/>
    <w:rsid w:val="00AD55B3"/>
    <w:rsid w:val="00AF0989"/>
    <w:rsid w:val="00B20E81"/>
    <w:rsid w:val="00B3179F"/>
    <w:rsid w:val="00B37F77"/>
    <w:rsid w:val="00B40A3B"/>
    <w:rsid w:val="00B543DD"/>
    <w:rsid w:val="00B54F4F"/>
    <w:rsid w:val="00B55A96"/>
    <w:rsid w:val="00B672E5"/>
    <w:rsid w:val="00B80231"/>
    <w:rsid w:val="00B8209D"/>
    <w:rsid w:val="00BA012E"/>
    <w:rsid w:val="00BE7D17"/>
    <w:rsid w:val="00C17337"/>
    <w:rsid w:val="00C23989"/>
    <w:rsid w:val="00C269C4"/>
    <w:rsid w:val="00C50D2A"/>
    <w:rsid w:val="00C5245D"/>
    <w:rsid w:val="00C5569A"/>
    <w:rsid w:val="00C56F4E"/>
    <w:rsid w:val="00C72362"/>
    <w:rsid w:val="00C75B86"/>
    <w:rsid w:val="00C87588"/>
    <w:rsid w:val="00C93032"/>
    <w:rsid w:val="00CD7BB7"/>
    <w:rsid w:val="00D027EE"/>
    <w:rsid w:val="00D112A9"/>
    <w:rsid w:val="00D142C9"/>
    <w:rsid w:val="00D25D0F"/>
    <w:rsid w:val="00D60178"/>
    <w:rsid w:val="00D6658A"/>
    <w:rsid w:val="00DC58C1"/>
    <w:rsid w:val="00DE0F10"/>
    <w:rsid w:val="00DF1529"/>
    <w:rsid w:val="00E061D8"/>
    <w:rsid w:val="00E31BD9"/>
    <w:rsid w:val="00E4344B"/>
    <w:rsid w:val="00E43919"/>
    <w:rsid w:val="00E5310D"/>
    <w:rsid w:val="00E809DC"/>
    <w:rsid w:val="00E8115F"/>
    <w:rsid w:val="00E866E2"/>
    <w:rsid w:val="00E955D3"/>
    <w:rsid w:val="00E96E23"/>
    <w:rsid w:val="00EB1DCF"/>
    <w:rsid w:val="00EE2EF4"/>
    <w:rsid w:val="00EE69C1"/>
    <w:rsid w:val="00F311E6"/>
    <w:rsid w:val="00F6051B"/>
    <w:rsid w:val="00F6132F"/>
    <w:rsid w:val="00F6215F"/>
    <w:rsid w:val="00F63FEC"/>
    <w:rsid w:val="00F6656D"/>
    <w:rsid w:val="00F7504C"/>
    <w:rsid w:val="00F80DD8"/>
    <w:rsid w:val="00FA3A4D"/>
    <w:rsid w:val="00FA3B4C"/>
    <w:rsid w:val="00FA7733"/>
    <w:rsid w:val="00F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A83CE-1790-4962-AF55-A48E3E9E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9D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9D"/>
    <w:rPr>
      <w:rFonts w:ascii="Segoe UI" w:eastAsiaTheme="maj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45D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C5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45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77AE-88CF-41A0-AA7A-A18B13B0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Dettmer, Helena R</dc:creator>
  <cp:lastModifiedBy>Dettmer, Helena R</cp:lastModifiedBy>
  <cp:revision>3</cp:revision>
  <cp:lastPrinted>2017-03-20T16:57:00Z</cp:lastPrinted>
  <dcterms:created xsi:type="dcterms:W3CDTF">2017-03-20T17:15:00Z</dcterms:created>
  <dcterms:modified xsi:type="dcterms:W3CDTF">2017-03-27T20:50:00Z</dcterms:modified>
</cp:coreProperties>
</file>