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6C97" w14:textId="73CF2F5D" w:rsidR="00946AA8" w:rsidRDefault="008A3B0B" w:rsidP="008A3B0B">
      <w:pPr>
        <w:jc w:val="center"/>
      </w:pPr>
      <w:r>
        <w:t>Citation for CAMWS First Book Award</w:t>
      </w:r>
    </w:p>
    <w:p w14:paraId="06F20852" w14:textId="480FD21C" w:rsidR="008A3B0B" w:rsidRDefault="008A3B0B" w:rsidP="008A3B0B">
      <w:pPr>
        <w:tabs>
          <w:tab w:val="left" w:pos="0"/>
        </w:tabs>
        <w:jc w:val="both"/>
      </w:pPr>
    </w:p>
    <w:p w14:paraId="6928FB00" w14:textId="565BF6BB" w:rsidR="008A3B0B" w:rsidRDefault="008A3B0B" w:rsidP="008A3B0B">
      <w:pPr>
        <w:tabs>
          <w:tab w:val="left" w:pos="0"/>
        </w:tabs>
        <w:jc w:val="both"/>
      </w:pPr>
      <w:r>
        <w:t>We are pleased to announce the award for a first book award for:</w:t>
      </w:r>
    </w:p>
    <w:p w14:paraId="2BB19C53" w14:textId="3E7900DA" w:rsidR="008A3B0B" w:rsidRDefault="008A3B0B" w:rsidP="008A3B0B">
      <w:pPr>
        <w:spacing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</w:pPr>
      <w:r w:rsidRPr="001F667D"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  <w:t>Figuring Death in Classical Athens. Oxford University Press</w:t>
      </w:r>
    </w:p>
    <w:p w14:paraId="46432E5C" w14:textId="53A7CD56" w:rsidR="008A3B0B" w:rsidRDefault="008A3B0B" w:rsidP="008A3B0B">
      <w:pPr>
        <w:spacing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  <w:t xml:space="preserve">by </w:t>
      </w:r>
    </w:p>
    <w:p w14:paraId="734525F4" w14:textId="77777777" w:rsidR="008A3B0B" w:rsidRDefault="008A3B0B" w:rsidP="008A3B0B">
      <w:pPr>
        <w:spacing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</w:pPr>
    </w:p>
    <w:p w14:paraId="49F530C6" w14:textId="17AA7A6E" w:rsidR="008A3B0B" w:rsidRDefault="008A3B0B" w:rsidP="008A3B0B">
      <w:pPr>
        <w:spacing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  <w:t>Emily Clifford</w:t>
      </w:r>
    </w:p>
    <w:p w14:paraId="6AAE2942" w14:textId="77777777" w:rsidR="008A3B0B" w:rsidRDefault="008A3B0B" w:rsidP="008A3B0B">
      <w:pPr>
        <w:spacing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</w:pPr>
    </w:p>
    <w:p w14:paraId="4579644E" w14:textId="77777777" w:rsidR="008A3B0B" w:rsidRDefault="008A3B0B" w:rsidP="008A3B0B">
      <w:pPr>
        <w:spacing w:line="240" w:lineRule="auto"/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</w:pPr>
    </w:p>
    <w:p w14:paraId="2821447D" w14:textId="77777777" w:rsidR="008A3B0B" w:rsidRDefault="008A3B0B" w:rsidP="008A3B0B">
      <w:pPr>
        <w:spacing w:line="240" w:lineRule="auto"/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</w:pPr>
    </w:p>
    <w:p w14:paraId="14432919" w14:textId="7AB2D79E" w:rsidR="000C1973" w:rsidRDefault="008A3B0B" w:rsidP="000C1973">
      <w:pPr>
        <w:spacing w:line="24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8A3B0B">
        <w:rPr>
          <w:rFonts w:eastAsia="Times New Roman" w:cs="Times New Roman"/>
          <w:bCs/>
          <w:color w:val="000000"/>
          <w:kern w:val="0"/>
          <w:szCs w:val="24"/>
          <w14:ligatures w14:val="none"/>
        </w:rPr>
        <w:t xml:space="preserve">This book </w:t>
      </w:r>
      <w:r>
        <w:rPr>
          <w:rFonts w:eastAsia="Times New Roman" w:cs="Times New Roman"/>
          <w:bCs/>
          <w:color w:val="000000"/>
          <w:kern w:val="0"/>
          <w:szCs w:val="24"/>
          <w14:ligatures w14:val="none"/>
        </w:rPr>
        <w:t xml:space="preserve">garnered praise for its focus on the moment of death rather than its prologue or epilogue </w:t>
      </w:r>
      <w:r w:rsidR="000C1973">
        <w:rPr>
          <w:rFonts w:eastAsia="Times New Roman" w:cs="Times New Roman"/>
          <w:bCs/>
          <w:color w:val="000000"/>
          <w:kern w:val="0"/>
          <w:szCs w:val="24"/>
          <w14:ligatures w14:val="none"/>
        </w:rPr>
        <w:t xml:space="preserve">and brought out its unknowability.  </w:t>
      </w:r>
      <w:r w:rsidR="000C1973" w:rsidRPr="001F667D">
        <w:rPr>
          <w:rFonts w:eastAsia="Times New Roman" w:cs="Times New Roman"/>
          <w:color w:val="000000"/>
          <w:kern w:val="0"/>
          <w:szCs w:val="24"/>
          <w14:ligatures w14:val="none"/>
        </w:rPr>
        <w:t>Fully engaged with thanatological scholarship modern and ancient, and beautifully written</w:t>
      </w:r>
      <w:r w:rsidR="00D13896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in wonderfully accessible prose</w:t>
      </w:r>
      <w:r w:rsidR="000C1973">
        <w:rPr>
          <w:rFonts w:eastAsia="Times New Roman" w:cs="Times New Roman"/>
          <w:color w:val="000000"/>
          <w:kern w:val="0"/>
          <w:szCs w:val="24"/>
          <w14:ligatures w14:val="none"/>
        </w:rPr>
        <w:t>, Clifford concentrates on 5</w:t>
      </w:r>
      <w:r w:rsidR="000C1973" w:rsidRPr="000C1973">
        <w:rPr>
          <w:rFonts w:eastAsia="Times New Roman" w:cs="Times New Roman"/>
          <w:color w:val="000000"/>
          <w:kern w:val="0"/>
          <w:szCs w:val="24"/>
          <w:vertAlign w:val="superscript"/>
          <w14:ligatures w14:val="none"/>
        </w:rPr>
        <w:t>th</w:t>
      </w:r>
      <w:r w:rsidR="000C1973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century Athens, exploiting both literary and visual materials to produce what anthropologists would call a thick description</w:t>
      </w:r>
      <w:r w:rsidR="00D13896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of Greek conceptions of the immediacy of death and the dying self.  She begins with a brilliant chapter on the </w:t>
      </w:r>
      <w:r w:rsidR="00D13896">
        <w:rPr>
          <w:rFonts w:eastAsia="Times New Roman" w:cs="Times New Roman"/>
          <w:i/>
          <w:color w:val="000000"/>
          <w:kern w:val="0"/>
          <w:szCs w:val="24"/>
          <w14:ligatures w14:val="none"/>
        </w:rPr>
        <w:t>Phaedo</w:t>
      </w:r>
      <w:r w:rsidR="00D13896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, then moves on to the </w:t>
      </w:r>
      <w:r w:rsidR="00D13896">
        <w:rPr>
          <w:rFonts w:eastAsia="Times New Roman" w:cs="Times New Roman"/>
          <w:i/>
          <w:color w:val="000000"/>
          <w:kern w:val="0"/>
          <w:szCs w:val="24"/>
          <w14:ligatures w14:val="none"/>
        </w:rPr>
        <w:t>Oedipus at Colonus</w:t>
      </w:r>
      <w:r w:rsidR="00D13896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, then tackles Athenian vase painting with special emphasis on the funerary white ground lekythoi, before engaging with the Thucydidean plague.  </w:t>
      </w:r>
      <w:r w:rsidR="000001B5">
        <w:rPr>
          <w:rFonts w:eastAsia="Times New Roman" w:cs="Times New Roman"/>
          <w:color w:val="000000"/>
          <w:kern w:val="0"/>
          <w:szCs w:val="24"/>
          <w14:ligatures w14:val="none"/>
        </w:rPr>
        <w:t>Each of these sections can stand alone, but together they offer a novel and sophisticated epistemology of death that stimulates further questions and raises the possibility of applying her method to other periods and genres.</w:t>
      </w:r>
      <w:r w:rsidR="000C1973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</w:t>
      </w:r>
      <w:r w:rsidR="000C1973" w:rsidRPr="001F667D">
        <w:rPr>
          <w:rFonts w:eastAsia="Times New Roman" w:cs="Times New Roman"/>
          <w:color w:val="000000"/>
          <w:kern w:val="0"/>
          <w:szCs w:val="24"/>
          <w14:ligatures w14:val="none"/>
        </w:rPr>
        <w:t> </w:t>
      </w:r>
    </w:p>
    <w:p w14:paraId="2400F660" w14:textId="77777777" w:rsidR="00577393" w:rsidRDefault="00577393" w:rsidP="000C1973">
      <w:pPr>
        <w:spacing w:line="24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</w:p>
    <w:p w14:paraId="786D9E4D" w14:textId="77777777" w:rsidR="00577393" w:rsidRDefault="00577393" w:rsidP="000C1973">
      <w:pPr>
        <w:spacing w:line="240" w:lineRule="auto"/>
        <w:rPr>
          <w:rFonts w:eastAsia="Times New Roman" w:cs="Times New Roman"/>
          <w:color w:val="000000"/>
          <w:kern w:val="0"/>
          <w:szCs w:val="24"/>
          <w14:ligatures w14:val="none"/>
        </w:rPr>
      </w:pPr>
    </w:p>
    <w:p w14:paraId="42714781" w14:textId="75E8A0CC" w:rsidR="00577393" w:rsidRPr="00577393" w:rsidRDefault="00577393" w:rsidP="000C1973">
      <w:pPr>
        <w:spacing w:line="240" w:lineRule="auto"/>
        <w:rPr>
          <w:rFonts w:eastAsia="Times New Roman" w:cs="Times New Roman"/>
          <w:i/>
          <w:iCs/>
          <w:color w:val="000000"/>
          <w:kern w:val="0"/>
          <w:szCs w:val="24"/>
          <w14:ligatures w14:val="none"/>
        </w:rPr>
      </w:pPr>
      <w:r w:rsidRPr="00577393">
        <w:rPr>
          <w:rFonts w:eastAsia="Times New Roman" w:cs="Times New Roman"/>
          <w:i/>
          <w:iCs/>
          <w:color w:val="000000"/>
          <w:kern w:val="0"/>
          <w:szCs w:val="24"/>
          <w14:ligatures w14:val="none"/>
        </w:rPr>
        <w:t>Jenny Strauss Clay, Chair</w:t>
      </w:r>
    </w:p>
    <w:p w14:paraId="0068D1C8" w14:textId="7196D4DE" w:rsidR="00577393" w:rsidRPr="00577393" w:rsidRDefault="00577393" w:rsidP="000C1973">
      <w:pPr>
        <w:spacing w:line="240" w:lineRule="auto"/>
        <w:rPr>
          <w:rFonts w:eastAsia="Times New Roman" w:cs="Times New Roman"/>
          <w:i/>
          <w:iCs/>
          <w:color w:val="000000"/>
          <w:kern w:val="0"/>
          <w:szCs w:val="24"/>
          <w14:ligatures w14:val="none"/>
        </w:rPr>
      </w:pPr>
      <w:r w:rsidRPr="00577393">
        <w:rPr>
          <w:rFonts w:eastAsia="Times New Roman" w:cs="Times New Roman"/>
          <w:i/>
          <w:iCs/>
          <w:color w:val="000000"/>
          <w:kern w:val="0"/>
          <w:szCs w:val="24"/>
          <w14:ligatures w14:val="none"/>
        </w:rPr>
        <w:t>On behalf of the CAMWS First Book Award Committee.</w:t>
      </w:r>
    </w:p>
    <w:p w14:paraId="6E5FA334" w14:textId="6F8C4D4A" w:rsidR="008A3B0B" w:rsidRPr="008A3B0B" w:rsidRDefault="008A3B0B" w:rsidP="008A3B0B">
      <w:pPr>
        <w:spacing w:line="240" w:lineRule="auto"/>
        <w:rPr>
          <w:rFonts w:eastAsia="Times New Roman" w:cs="Times New Roman"/>
          <w:bCs/>
          <w:color w:val="000000"/>
          <w:kern w:val="0"/>
          <w:szCs w:val="24"/>
          <w14:ligatures w14:val="none"/>
        </w:rPr>
      </w:pPr>
    </w:p>
    <w:p w14:paraId="4149EF9A" w14:textId="77777777" w:rsidR="008A3B0B" w:rsidRPr="001F667D" w:rsidRDefault="008A3B0B" w:rsidP="008A3B0B">
      <w:pPr>
        <w:spacing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4"/>
          <w14:ligatures w14:val="none"/>
        </w:rPr>
      </w:pPr>
    </w:p>
    <w:p w14:paraId="6433FF5A" w14:textId="77777777" w:rsidR="008A3B0B" w:rsidRDefault="008A3B0B" w:rsidP="008A3B0B">
      <w:pPr>
        <w:jc w:val="center"/>
      </w:pPr>
    </w:p>
    <w:p w14:paraId="3180A0EB" w14:textId="2EAA37F4" w:rsidR="008A3B0B" w:rsidRDefault="008A3B0B" w:rsidP="008A3B0B">
      <w:r>
        <w:tab/>
      </w:r>
    </w:p>
    <w:sectPr w:rsidR="008A3B0B" w:rsidSect="00124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0B"/>
    <w:rsid w:val="000001B5"/>
    <w:rsid w:val="00016328"/>
    <w:rsid w:val="00026EA3"/>
    <w:rsid w:val="000C1973"/>
    <w:rsid w:val="000C7388"/>
    <w:rsid w:val="001247DE"/>
    <w:rsid w:val="00427748"/>
    <w:rsid w:val="00432395"/>
    <w:rsid w:val="004C5541"/>
    <w:rsid w:val="00526D3D"/>
    <w:rsid w:val="00577393"/>
    <w:rsid w:val="006C640E"/>
    <w:rsid w:val="008779D7"/>
    <w:rsid w:val="008A3B0B"/>
    <w:rsid w:val="00946AA8"/>
    <w:rsid w:val="00A8024A"/>
    <w:rsid w:val="00C059DC"/>
    <w:rsid w:val="00CE3806"/>
    <w:rsid w:val="00D13896"/>
    <w:rsid w:val="00D41719"/>
    <w:rsid w:val="00D83F01"/>
    <w:rsid w:val="00E75406"/>
    <w:rsid w:val="00F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1C7A3C"/>
  <w15:chartTrackingRefBased/>
  <w15:docId w15:val="{A370187B-EDEF-0C44-90CB-385DB5F1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B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B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B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B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B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B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B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B0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B0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B0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B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B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B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B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B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B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B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B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B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B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Clay, Jenny S (jsc2t)</dc:creator>
  <cp:keywords/>
  <dc:description/>
  <cp:lastModifiedBy>Clay, Jenny S (jsc2t)</cp:lastModifiedBy>
  <cp:revision>3</cp:revision>
  <dcterms:created xsi:type="dcterms:W3CDTF">2026-02-06T17:10:00Z</dcterms:created>
  <dcterms:modified xsi:type="dcterms:W3CDTF">2026-02-06T17:12:00Z</dcterms:modified>
</cp:coreProperties>
</file>